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1BD5" w14:textId="77777777" w:rsidR="006264A0" w:rsidRDefault="00591101" w:rsidP="005A1638">
      <w:pPr>
        <w:jc w:val="center"/>
        <w:rPr>
          <w:rFonts w:ascii="Calibri Light" w:eastAsia="Calibri Light" w:hAnsi="Calibri Light" w:cs="Calibri Light"/>
          <w:spacing w:val="-10"/>
          <w:sz w:val="56"/>
        </w:rPr>
      </w:pPr>
      <w:r>
        <w:object w:dxaOrig="2267" w:dyaOrig="2267" w14:anchorId="446D25C8">
          <v:rect id="rectole0000000000" o:spid="_x0000_i1025" style="width:114.45pt;height:114.45pt" o:ole="" o:preferrelative="t" stroked="f">
            <v:imagedata r:id="rId8" o:title=""/>
          </v:rect>
          <o:OLEObject Type="Embed" ProgID="StaticMetafile" ShapeID="rectole0000000000" DrawAspect="Content" ObjectID="_1622302447" r:id="rId9"/>
        </w:object>
      </w:r>
    </w:p>
    <w:p w14:paraId="0BC1878F" w14:textId="77777777" w:rsidR="006264A0" w:rsidRDefault="006264A0">
      <w:pPr>
        <w:spacing w:after="0" w:line="240" w:lineRule="auto"/>
        <w:rPr>
          <w:rFonts w:ascii="Calibri Light" w:eastAsia="Calibri Light" w:hAnsi="Calibri Light" w:cs="Calibri Light"/>
          <w:spacing w:val="-10"/>
          <w:sz w:val="56"/>
        </w:rPr>
      </w:pPr>
    </w:p>
    <w:p w14:paraId="1A7A2FE0" w14:textId="77777777" w:rsidR="006264A0" w:rsidRDefault="006264A0">
      <w:pPr>
        <w:rPr>
          <w:rFonts w:ascii="Calibri" w:eastAsia="Calibri" w:hAnsi="Calibri" w:cs="Calibri"/>
        </w:rPr>
      </w:pPr>
    </w:p>
    <w:p w14:paraId="5C8B5D52" w14:textId="1495CCC2" w:rsidR="006264A0" w:rsidRPr="009D3AF3" w:rsidRDefault="00C649E4">
      <w:pPr>
        <w:spacing w:after="0" w:line="240" w:lineRule="auto"/>
        <w:rPr>
          <w:rFonts w:asciiTheme="majorHAnsi" w:eastAsia="Calibri Light" w:hAnsiTheme="majorHAnsi" w:cs="Calibri Light"/>
          <w:spacing w:val="-10"/>
          <w:sz w:val="40"/>
          <w:szCs w:val="40"/>
        </w:rPr>
      </w:pPr>
      <w:r>
        <w:rPr>
          <w:rFonts w:asciiTheme="majorHAnsi" w:eastAsia="Calibri Light" w:hAnsiTheme="majorHAnsi" w:cs="Calibri Light"/>
          <w:spacing w:val="-10"/>
          <w:sz w:val="40"/>
          <w:szCs w:val="40"/>
        </w:rPr>
        <w:t>NIEM Health</w:t>
      </w:r>
      <w:r w:rsidR="00C061AD">
        <w:rPr>
          <w:rFonts w:asciiTheme="majorHAnsi" w:eastAsia="Calibri Light" w:hAnsiTheme="majorHAnsi" w:cs="Calibri Light"/>
          <w:spacing w:val="-10"/>
          <w:sz w:val="40"/>
          <w:szCs w:val="40"/>
        </w:rPr>
        <w:t xml:space="preserve"> </w:t>
      </w:r>
      <w:r>
        <w:rPr>
          <w:rFonts w:asciiTheme="majorHAnsi" w:eastAsia="Calibri Light" w:hAnsiTheme="majorHAnsi" w:cs="Calibri Light"/>
          <w:spacing w:val="-10"/>
          <w:sz w:val="40"/>
          <w:szCs w:val="40"/>
        </w:rPr>
        <w:t>102</w:t>
      </w:r>
      <w:r w:rsidR="00591101" w:rsidRPr="009D3AF3">
        <w:rPr>
          <w:rFonts w:asciiTheme="majorHAnsi" w:eastAsia="Calibri Light" w:hAnsiTheme="majorHAnsi" w:cs="Calibri Light"/>
          <w:spacing w:val="-10"/>
          <w:sz w:val="40"/>
          <w:szCs w:val="40"/>
        </w:rPr>
        <w:t xml:space="preserve">: </w:t>
      </w:r>
      <w:r w:rsidR="002F414A" w:rsidRPr="002F414A">
        <w:rPr>
          <w:rFonts w:asciiTheme="majorHAnsi" w:eastAsia="Calibri Light" w:hAnsiTheme="majorHAnsi" w:cs="Calibri Light"/>
          <w:spacing w:val="-10"/>
          <w:sz w:val="40"/>
          <w:szCs w:val="40"/>
        </w:rPr>
        <w:t>An Introduction to Security and Privacy of Protected Healthcare Information</w:t>
      </w:r>
      <w:r w:rsidR="00712E49">
        <w:rPr>
          <w:rFonts w:asciiTheme="majorHAnsi" w:eastAsia="Calibri Light" w:hAnsiTheme="majorHAnsi" w:cs="Calibri Light"/>
          <w:spacing w:val="-10"/>
          <w:sz w:val="40"/>
          <w:szCs w:val="40"/>
        </w:rPr>
        <w:t xml:space="preserve"> </w:t>
      </w:r>
    </w:p>
    <w:p w14:paraId="69852E96" w14:textId="77777777" w:rsidR="00D41B7C" w:rsidRPr="009D3AF3" w:rsidRDefault="00591101" w:rsidP="00D41B7C">
      <w:pPr>
        <w:rPr>
          <w:rFonts w:asciiTheme="majorHAnsi" w:eastAsia="Calibri" w:hAnsiTheme="majorHAnsi" w:cs="Calibri"/>
          <w:sz w:val="34"/>
          <w:szCs w:val="34"/>
        </w:rPr>
      </w:pPr>
      <w:r>
        <w:rPr>
          <w:rFonts w:ascii="Calibri" w:eastAsia="Calibri" w:hAnsi="Calibri" w:cs="Calibri"/>
        </w:rPr>
        <w:t xml:space="preserve"> </w:t>
      </w:r>
      <w:r w:rsidR="00D41B7C" w:rsidRPr="009D3AF3">
        <w:rPr>
          <w:rFonts w:asciiTheme="majorHAnsi" w:eastAsia="Calibri" w:hAnsiTheme="majorHAnsi" w:cs="Calibri"/>
          <w:sz w:val="34"/>
          <w:szCs w:val="34"/>
        </w:rPr>
        <w:t>Produced by the Federal Health Architecture</w:t>
      </w:r>
    </w:p>
    <w:p w14:paraId="1ED2AB0F" w14:textId="77777777" w:rsidR="006264A0" w:rsidRDefault="006264A0">
      <w:pPr>
        <w:rPr>
          <w:rFonts w:ascii="Calibri" w:eastAsia="Calibri" w:hAnsi="Calibri" w:cs="Calibri"/>
        </w:rPr>
      </w:pPr>
    </w:p>
    <w:p w14:paraId="12F921AA" w14:textId="77777777" w:rsidR="006264A0" w:rsidRDefault="006264A0">
      <w:pPr>
        <w:rPr>
          <w:rFonts w:ascii="Calibri" w:eastAsia="Calibri" w:hAnsi="Calibri" w:cs="Calibri"/>
        </w:rPr>
      </w:pPr>
    </w:p>
    <w:p w14:paraId="7A8D279C" w14:textId="7BF802C4" w:rsidR="001B1AC5" w:rsidRDefault="00591101">
      <w:pPr>
        <w:rPr>
          <w:rFonts w:ascii="Calibri" w:eastAsia="Calibri" w:hAnsi="Calibri" w:cs="Calibri"/>
        </w:rPr>
      </w:pPr>
      <w:r>
        <w:rPr>
          <w:rFonts w:ascii="Calibri" w:eastAsia="Calibri" w:hAnsi="Calibri" w:cs="Calibri"/>
        </w:rPr>
        <w:t xml:space="preserve"> </w:t>
      </w:r>
    </w:p>
    <w:p w14:paraId="748F21DF" w14:textId="77777777" w:rsidR="001B1AC5" w:rsidRDefault="001B1AC5">
      <w:pPr>
        <w:rPr>
          <w:rFonts w:ascii="Calibri" w:eastAsia="Calibri" w:hAnsi="Calibri" w:cs="Calibri"/>
        </w:rPr>
      </w:pPr>
      <w:r>
        <w:rPr>
          <w:rFonts w:ascii="Calibri" w:eastAsia="Calibri" w:hAnsi="Calibri" w:cs="Calibri"/>
        </w:rPr>
        <w:br w:type="page"/>
      </w:r>
    </w:p>
    <w:sdt>
      <w:sdtPr>
        <w:rPr>
          <w:rFonts w:asciiTheme="minorHAnsi" w:eastAsiaTheme="minorEastAsia" w:hAnsiTheme="minorHAnsi" w:cstheme="minorBidi"/>
          <w:color w:val="auto"/>
          <w:sz w:val="22"/>
          <w:szCs w:val="22"/>
        </w:rPr>
        <w:id w:val="365574021"/>
        <w:docPartObj>
          <w:docPartGallery w:val="Table of Contents"/>
          <w:docPartUnique/>
        </w:docPartObj>
      </w:sdtPr>
      <w:sdtEndPr>
        <w:rPr>
          <w:b/>
          <w:bCs/>
          <w:noProof/>
        </w:rPr>
      </w:sdtEndPr>
      <w:sdtContent>
        <w:p w14:paraId="14FA58EB" w14:textId="4BFED95B" w:rsidR="00C16846" w:rsidRDefault="00C16846">
          <w:pPr>
            <w:pStyle w:val="TOCHeading"/>
          </w:pPr>
          <w:r>
            <w:t>Contents</w:t>
          </w:r>
        </w:p>
        <w:p w14:paraId="0EE5A3F5" w14:textId="6466320F" w:rsidR="005A1638" w:rsidRDefault="00C16846">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9404314" w:history="1">
            <w:r w:rsidR="005A1638" w:rsidRPr="00A8724B">
              <w:rPr>
                <w:rStyle w:val="Hyperlink"/>
                <w:rFonts w:asciiTheme="majorHAnsi" w:eastAsia="Calibri Light" w:hAnsiTheme="majorHAnsi" w:cstheme="majorBidi"/>
                <w:noProof/>
              </w:rPr>
              <w:t>Preface</w:t>
            </w:r>
            <w:r w:rsidR="005A1638">
              <w:rPr>
                <w:noProof/>
                <w:webHidden/>
              </w:rPr>
              <w:tab/>
            </w:r>
            <w:r w:rsidR="005A1638">
              <w:rPr>
                <w:noProof/>
                <w:webHidden/>
              </w:rPr>
              <w:fldChar w:fldCharType="begin"/>
            </w:r>
            <w:r w:rsidR="005A1638">
              <w:rPr>
                <w:noProof/>
                <w:webHidden/>
              </w:rPr>
              <w:instrText xml:space="preserve"> PAGEREF _Toc9404314 \h </w:instrText>
            </w:r>
            <w:r w:rsidR="005A1638">
              <w:rPr>
                <w:noProof/>
                <w:webHidden/>
              </w:rPr>
            </w:r>
            <w:r w:rsidR="005A1638">
              <w:rPr>
                <w:noProof/>
                <w:webHidden/>
              </w:rPr>
              <w:fldChar w:fldCharType="separate"/>
            </w:r>
            <w:r w:rsidR="005A1638">
              <w:rPr>
                <w:noProof/>
                <w:webHidden/>
              </w:rPr>
              <w:t>3</w:t>
            </w:r>
            <w:r w:rsidR="005A1638">
              <w:rPr>
                <w:noProof/>
                <w:webHidden/>
              </w:rPr>
              <w:fldChar w:fldCharType="end"/>
            </w:r>
          </w:hyperlink>
        </w:p>
        <w:p w14:paraId="1ACFA946" w14:textId="2621F961" w:rsidR="005A1638" w:rsidRDefault="00042C3D">
          <w:pPr>
            <w:pStyle w:val="TOC1"/>
            <w:tabs>
              <w:tab w:val="right" w:leader="dot" w:pos="9350"/>
            </w:tabs>
            <w:rPr>
              <w:noProof/>
            </w:rPr>
          </w:pPr>
          <w:hyperlink w:anchor="_Toc9404315" w:history="1">
            <w:r w:rsidR="005A1638" w:rsidRPr="00A8724B">
              <w:rPr>
                <w:rStyle w:val="Hyperlink"/>
                <w:rFonts w:eastAsia="Calibri Light"/>
                <w:noProof/>
              </w:rPr>
              <w:t>Introduction</w:t>
            </w:r>
            <w:r w:rsidR="005A1638">
              <w:rPr>
                <w:noProof/>
                <w:webHidden/>
              </w:rPr>
              <w:tab/>
            </w:r>
            <w:r w:rsidR="005A1638">
              <w:rPr>
                <w:noProof/>
                <w:webHidden/>
              </w:rPr>
              <w:fldChar w:fldCharType="begin"/>
            </w:r>
            <w:r w:rsidR="005A1638">
              <w:rPr>
                <w:noProof/>
                <w:webHidden/>
              </w:rPr>
              <w:instrText xml:space="preserve"> PAGEREF _Toc9404315 \h </w:instrText>
            </w:r>
            <w:r w:rsidR="005A1638">
              <w:rPr>
                <w:noProof/>
                <w:webHidden/>
              </w:rPr>
            </w:r>
            <w:r w:rsidR="005A1638">
              <w:rPr>
                <w:noProof/>
                <w:webHidden/>
              </w:rPr>
              <w:fldChar w:fldCharType="separate"/>
            </w:r>
            <w:r w:rsidR="005A1638">
              <w:rPr>
                <w:noProof/>
                <w:webHidden/>
              </w:rPr>
              <w:t>4</w:t>
            </w:r>
            <w:r w:rsidR="005A1638">
              <w:rPr>
                <w:noProof/>
                <w:webHidden/>
              </w:rPr>
              <w:fldChar w:fldCharType="end"/>
            </w:r>
          </w:hyperlink>
        </w:p>
        <w:p w14:paraId="2B9DAFE8" w14:textId="601D27D4" w:rsidR="005A1638" w:rsidRDefault="00042C3D">
          <w:pPr>
            <w:pStyle w:val="TOC1"/>
            <w:tabs>
              <w:tab w:val="right" w:leader="dot" w:pos="9350"/>
            </w:tabs>
            <w:rPr>
              <w:noProof/>
            </w:rPr>
          </w:pPr>
          <w:hyperlink w:anchor="_Toc9404316" w:history="1">
            <w:r w:rsidR="005A1638" w:rsidRPr="00A8724B">
              <w:rPr>
                <w:rStyle w:val="Hyperlink"/>
                <w:rFonts w:eastAsia="Calibri"/>
                <w:noProof/>
                <w:shd w:val="clear" w:color="auto" w:fill="FFFFFF"/>
              </w:rPr>
              <w:t>Privacy Rule Requirements of HIPAA</w:t>
            </w:r>
            <w:r w:rsidR="005A1638">
              <w:rPr>
                <w:noProof/>
                <w:webHidden/>
              </w:rPr>
              <w:tab/>
            </w:r>
            <w:r w:rsidR="005A1638">
              <w:rPr>
                <w:noProof/>
                <w:webHidden/>
              </w:rPr>
              <w:fldChar w:fldCharType="begin"/>
            </w:r>
            <w:r w:rsidR="005A1638">
              <w:rPr>
                <w:noProof/>
                <w:webHidden/>
              </w:rPr>
              <w:instrText xml:space="preserve"> PAGEREF _Toc9404316 \h </w:instrText>
            </w:r>
            <w:r w:rsidR="005A1638">
              <w:rPr>
                <w:noProof/>
                <w:webHidden/>
              </w:rPr>
            </w:r>
            <w:r w:rsidR="005A1638">
              <w:rPr>
                <w:noProof/>
                <w:webHidden/>
              </w:rPr>
              <w:fldChar w:fldCharType="separate"/>
            </w:r>
            <w:r w:rsidR="005A1638">
              <w:rPr>
                <w:noProof/>
                <w:webHidden/>
              </w:rPr>
              <w:t>4</w:t>
            </w:r>
            <w:r w:rsidR="005A1638">
              <w:rPr>
                <w:noProof/>
                <w:webHidden/>
              </w:rPr>
              <w:fldChar w:fldCharType="end"/>
            </w:r>
          </w:hyperlink>
        </w:p>
        <w:p w14:paraId="5B722A13" w14:textId="550CEFB0" w:rsidR="005A1638" w:rsidRDefault="00042C3D">
          <w:pPr>
            <w:pStyle w:val="TOC2"/>
            <w:tabs>
              <w:tab w:val="right" w:leader="dot" w:pos="9350"/>
            </w:tabs>
            <w:rPr>
              <w:noProof/>
            </w:rPr>
          </w:pPr>
          <w:hyperlink w:anchor="_Toc9404317" w:history="1">
            <w:r w:rsidR="005A1638" w:rsidRPr="00A8724B">
              <w:rPr>
                <w:rStyle w:val="Hyperlink"/>
                <w:rFonts w:eastAsia="Calibri"/>
                <w:noProof/>
              </w:rPr>
              <w:t>Exceptions to the HIPAA Privacy Rule</w:t>
            </w:r>
            <w:r w:rsidR="005A1638">
              <w:rPr>
                <w:noProof/>
                <w:webHidden/>
              </w:rPr>
              <w:tab/>
            </w:r>
            <w:r w:rsidR="005A1638">
              <w:rPr>
                <w:noProof/>
                <w:webHidden/>
              </w:rPr>
              <w:fldChar w:fldCharType="begin"/>
            </w:r>
            <w:r w:rsidR="005A1638">
              <w:rPr>
                <w:noProof/>
                <w:webHidden/>
              </w:rPr>
              <w:instrText xml:space="preserve"> PAGEREF _Toc9404317 \h </w:instrText>
            </w:r>
            <w:r w:rsidR="005A1638">
              <w:rPr>
                <w:noProof/>
                <w:webHidden/>
              </w:rPr>
            </w:r>
            <w:r w:rsidR="005A1638">
              <w:rPr>
                <w:noProof/>
                <w:webHidden/>
              </w:rPr>
              <w:fldChar w:fldCharType="separate"/>
            </w:r>
            <w:r w:rsidR="005A1638">
              <w:rPr>
                <w:noProof/>
                <w:webHidden/>
              </w:rPr>
              <w:t>6</w:t>
            </w:r>
            <w:r w:rsidR="005A1638">
              <w:rPr>
                <w:noProof/>
                <w:webHidden/>
              </w:rPr>
              <w:fldChar w:fldCharType="end"/>
            </w:r>
          </w:hyperlink>
        </w:p>
        <w:p w14:paraId="45C51017" w14:textId="41C960F6" w:rsidR="005A1638" w:rsidRDefault="00042C3D">
          <w:pPr>
            <w:pStyle w:val="TOC1"/>
            <w:tabs>
              <w:tab w:val="right" w:leader="dot" w:pos="9350"/>
            </w:tabs>
            <w:rPr>
              <w:noProof/>
            </w:rPr>
          </w:pPr>
          <w:hyperlink w:anchor="_Toc9404318" w:history="1">
            <w:r w:rsidR="005A1638" w:rsidRPr="00A8724B">
              <w:rPr>
                <w:rStyle w:val="Hyperlink"/>
                <w:rFonts w:eastAsia="Calibri"/>
                <w:noProof/>
                <w:shd w:val="clear" w:color="auto" w:fill="FFFFFF"/>
              </w:rPr>
              <w:t>Security Rule Requirements of HIPAA</w:t>
            </w:r>
            <w:r w:rsidR="005A1638">
              <w:rPr>
                <w:noProof/>
                <w:webHidden/>
              </w:rPr>
              <w:tab/>
            </w:r>
            <w:r w:rsidR="005A1638">
              <w:rPr>
                <w:noProof/>
                <w:webHidden/>
              </w:rPr>
              <w:fldChar w:fldCharType="begin"/>
            </w:r>
            <w:r w:rsidR="005A1638">
              <w:rPr>
                <w:noProof/>
                <w:webHidden/>
              </w:rPr>
              <w:instrText xml:space="preserve"> PAGEREF _Toc9404318 \h </w:instrText>
            </w:r>
            <w:r w:rsidR="005A1638">
              <w:rPr>
                <w:noProof/>
                <w:webHidden/>
              </w:rPr>
            </w:r>
            <w:r w:rsidR="005A1638">
              <w:rPr>
                <w:noProof/>
                <w:webHidden/>
              </w:rPr>
              <w:fldChar w:fldCharType="separate"/>
            </w:r>
            <w:r w:rsidR="005A1638">
              <w:rPr>
                <w:noProof/>
                <w:webHidden/>
              </w:rPr>
              <w:t>7</w:t>
            </w:r>
            <w:r w:rsidR="005A1638">
              <w:rPr>
                <w:noProof/>
                <w:webHidden/>
              </w:rPr>
              <w:fldChar w:fldCharType="end"/>
            </w:r>
          </w:hyperlink>
        </w:p>
        <w:p w14:paraId="34071F7E" w14:textId="69819615" w:rsidR="005A1638" w:rsidRDefault="00042C3D">
          <w:pPr>
            <w:pStyle w:val="TOC2"/>
            <w:tabs>
              <w:tab w:val="right" w:leader="dot" w:pos="9350"/>
            </w:tabs>
            <w:rPr>
              <w:noProof/>
            </w:rPr>
          </w:pPr>
          <w:hyperlink w:anchor="_Toc9404319" w:history="1">
            <w:r w:rsidR="005A1638" w:rsidRPr="00A8724B">
              <w:rPr>
                <w:rStyle w:val="Hyperlink"/>
                <w:noProof/>
              </w:rPr>
              <w:t>Evolution of Security and Privacy Protections</w:t>
            </w:r>
            <w:r w:rsidR="005A1638">
              <w:rPr>
                <w:noProof/>
                <w:webHidden/>
              </w:rPr>
              <w:tab/>
            </w:r>
            <w:r w:rsidR="005A1638">
              <w:rPr>
                <w:noProof/>
                <w:webHidden/>
              </w:rPr>
              <w:fldChar w:fldCharType="begin"/>
            </w:r>
            <w:r w:rsidR="005A1638">
              <w:rPr>
                <w:noProof/>
                <w:webHidden/>
              </w:rPr>
              <w:instrText xml:space="preserve"> PAGEREF _Toc9404319 \h </w:instrText>
            </w:r>
            <w:r w:rsidR="005A1638">
              <w:rPr>
                <w:noProof/>
                <w:webHidden/>
              </w:rPr>
            </w:r>
            <w:r w:rsidR="005A1638">
              <w:rPr>
                <w:noProof/>
                <w:webHidden/>
              </w:rPr>
              <w:fldChar w:fldCharType="separate"/>
            </w:r>
            <w:r w:rsidR="005A1638">
              <w:rPr>
                <w:noProof/>
                <w:webHidden/>
              </w:rPr>
              <w:t>7</w:t>
            </w:r>
            <w:r w:rsidR="005A1638">
              <w:rPr>
                <w:noProof/>
                <w:webHidden/>
              </w:rPr>
              <w:fldChar w:fldCharType="end"/>
            </w:r>
          </w:hyperlink>
        </w:p>
        <w:p w14:paraId="104FF626" w14:textId="44CF3404" w:rsidR="005A1638" w:rsidRDefault="00042C3D">
          <w:pPr>
            <w:pStyle w:val="TOC2"/>
            <w:tabs>
              <w:tab w:val="right" w:leader="dot" w:pos="9350"/>
            </w:tabs>
            <w:rPr>
              <w:noProof/>
            </w:rPr>
          </w:pPr>
          <w:hyperlink w:anchor="_Toc9404320" w:history="1">
            <w:r w:rsidR="005A1638" w:rsidRPr="00A8724B">
              <w:rPr>
                <w:rStyle w:val="Hyperlink"/>
                <w:noProof/>
              </w:rPr>
              <w:t>The Federal Information Security Management Act (FISMA)</w:t>
            </w:r>
            <w:r w:rsidR="005A1638">
              <w:rPr>
                <w:noProof/>
                <w:webHidden/>
              </w:rPr>
              <w:tab/>
            </w:r>
            <w:r w:rsidR="005A1638">
              <w:rPr>
                <w:noProof/>
                <w:webHidden/>
              </w:rPr>
              <w:fldChar w:fldCharType="begin"/>
            </w:r>
            <w:r w:rsidR="005A1638">
              <w:rPr>
                <w:noProof/>
                <w:webHidden/>
              </w:rPr>
              <w:instrText xml:space="preserve"> PAGEREF _Toc9404320 \h </w:instrText>
            </w:r>
            <w:r w:rsidR="005A1638">
              <w:rPr>
                <w:noProof/>
                <w:webHidden/>
              </w:rPr>
            </w:r>
            <w:r w:rsidR="005A1638">
              <w:rPr>
                <w:noProof/>
                <w:webHidden/>
              </w:rPr>
              <w:fldChar w:fldCharType="separate"/>
            </w:r>
            <w:r w:rsidR="005A1638">
              <w:rPr>
                <w:noProof/>
                <w:webHidden/>
              </w:rPr>
              <w:t>8</w:t>
            </w:r>
            <w:r w:rsidR="005A1638">
              <w:rPr>
                <w:noProof/>
                <w:webHidden/>
              </w:rPr>
              <w:fldChar w:fldCharType="end"/>
            </w:r>
          </w:hyperlink>
        </w:p>
        <w:p w14:paraId="66A2CD52" w14:textId="00C51C6C" w:rsidR="005A1638" w:rsidRDefault="00042C3D">
          <w:pPr>
            <w:pStyle w:val="TOC1"/>
            <w:tabs>
              <w:tab w:val="right" w:leader="dot" w:pos="9350"/>
            </w:tabs>
            <w:rPr>
              <w:noProof/>
            </w:rPr>
          </w:pPr>
          <w:hyperlink w:anchor="_Toc9404321" w:history="1">
            <w:r w:rsidR="005A1638" w:rsidRPr="00A8724B">
              <w:rPr>
                <w:rStyle w:val="Hyperlink"/>
                <w:rFonts w:eastAsia="Calibri"/>
                <w:noProof/>
                <w:shd w:val="clear" w:color="auto" w:fill="FFFFFF"/>
              </w:rPr>
              <w:t>Trust Frameworks</w:t>
            </w:r>
            <w:r w:rsidR="005A1638">
              <w:rPr>
                <w:noProof/>
                <w:webHidden/>
              </w:rPr>
              <w:tab/>
            </w:r>
            <w:r w:rsidR="005A1638">
              <w:rPr>
                <w:noProof/>
                <w:webHidden/>
              </w:rPr>
              <w:fldChar w:fldCharType="begin"/>
            </w:r>
            <w:r w:rsidR="005A1638">
              <w:rPr>
                <w:noProof/>
                <w:webHidden/>
              </w:rPr>
              <w:instrText xml:space="preserve"> PAGEREF _Toc9404321 \h </w:instrText>
            </w:r>
            <w:r w:rsidR="005A1638">
              <w:rPr>
                <w:noProof/>
                <w:webHidden/>
              </w:rPr>
            </w:r>
            <w:r w:rsidR="005A1638">
              <w:rPr>
                <w:noProof/>
                <w:webHidden/>
              </w:rPr>
              <w:fldChar w:fldCharType="separate"/>
            </w:r>
            <w:r w:rsidR="005A1638">
              <w:rPr>
                <w:noProof/>
                <w:webHidden/>
              </w:rPr>
              <w:t>10</w:t>
            </w:r>
            <w:r w:rsidR="005A1638">
              <w:rPr>
                <w:noProof/>
                <w:webHidden/>
              </w:rPr>
              <w:fldChar w:fldCharType="end"/>
            </w:r>
          </w:hyperlink>
        </w:p>
        <w:p w14:paraId="0EABA180" w14:textId="241ED8B2" w:rsidR="005A1638" w:rsidRDefault="00042C3D">
          <w:pPr>
            <w:pStyle w:val="TOC2"/>
            <w:tabs>
              <w:tab w:val="right" w:leader="dot" w:pos="9350"/>
            </w:tabs>
            <w:rPr>
              <w:noProof/>
            </w:rPr>
          </w:pPr>
          <w:hyperlink w:anchor="_Toc9404322" w:history="1">
            <w:r w:rsidR="005A1638" w:rsidRPr="00A8724B">
              <w:rPr>
                <w:rStyle w:val="Hyperlink"/>
                <w:noProof/>
              </w:rPr>
              <w:t xml:space="preserve">eHealth Exchange’s </w:t>
            </w:r>
            <w:r w:rsidR="0046277A" w:rsidRPr="0046277A">
              <w:rPr>
                <w:rStyle w:val="Hyperlink"/>
                <w:noProof/>
              </w:rPr>
              <w:t>Data Use and Reciprocal Support Agreement</w:t>
            </w:r>
            <w:r w:rsidR="0046277A">
              <w:rPr>
                <w:rStyle w:val="Hyperlink"/>
                <w:noProof/>
              </w:rPr>
              <w:t xml:space="preserve"> (</w:t>
            </w:r>
            <w:r w:rsidR="005A1638" w:rsidRPr="00A8724B">
              <w:rPr>
                <w:rStyle w:val="Hyperlink"/>
                <w:noProof/>
              </w:rPr>
              <w:t>DURSA</w:t>
            </w:r>
            <w:r w:rsidR="0046277A">
              <w:rPr>
                <w:rStyle w:val="Hyperlink"/>
                <w:noProof/>
              </w:rPr>
              <w:t>)</w:t>
            </w:r>
            <w:r w:rsidR="005A1638">
              <w:rPr>
                <w:noProof/>
                <w:webHidden/>
              </w:rPr>
              <w:tab/>
            </w:r>
            <w:r w:rsidR="005A1638">
              <w:rPr>
                <w:noProof/>
                <w:webHidden/>
              </w:rPr>
              <w:fldChar w:fldCharType="begin"/>
            </w:r>
            <w:r w:rsidR="005A1638">
              <w:rPr>
                <w:noProof/>
                <w:webHidden/>
              </w:rPr>
              <w:instrText xml:space="preserve"> PAGEREF _Toc9404322 \h </w:instrText>
            </w:r>
            <w:r w:rsidR="005A1638">
              <w:rPr>
                <w:noProof/>
                <w:webHidden/>
              </w:rPr>
            </w:r>
            <w:r w:rsidR="005A1638">
              <w:rPr>
                <w:noProof/>
                <w:webHidden/>
              </w:rPr>
              <w:fldChar w:fldCharType="separate"/>
            </w:r>
            <w:r w:rsidR="005A1638">
              <w:rPr>
                <w:noProof/>
                <w:webHidden/>
              </w:rPr>
              <w:t>10</w:t>
            </w:r>
            <w:r w:rsidR="005A1638">
              <w:rPr>
                <w:noProof/>
                <w:webHidden/>
              </w:rPr>
              <w:fldChar w:fldCharType="end"/>
            </w:r>
          </w:hyperlink>
        </w:p>
        <w:p w14:paraId="695F75C0" w14:textId="1463B0A8" w:rsidR="005A1638" w:rsidRDefault="00042C3D">
          <w:pPr>
            <w:pStyle w:val="TOC2"/>
            <w:tabs>
              <w:tab w:val="right" w:leader="dot" w:pos="9350"/>
            </w:tabs>
            <w:rPr>
              <w:noProof/>
            </w:rPr>
          </w:pPr>
          <w:hyperlink w:anchor="_Toc9404323" w:history="1">
            <w:r w:rsidR="005A1638" w:rsidRPr="00A8724B">
              <w:rPr>
                <w:rStyle w:val="Hyperlink"/>
                <w:noProof/>
              </w:rPr>
              <w:t>NIST’s Cyber Security Framework</w:t>
            </w:r>
            <w:r w:rsidR="005A1638">
              <w:rPr>
                <w:noProof/>
                <w:webHidden/>
              </w:rPr>
              <w:tab/>
            </w:r>
            <w:r w:rsidR="005A1638">
              <w:rPr>
                <w:noProof/>
                <w:webHidden/>
              </w:rPr>
              <w:fldChar w:fldCharType="begin"/>
            </w:r>
            <w:r w:rsidR="005A1638">
              <w:rPr>
                <w:noProof/>
                <w:webHidden/>
              </w:rPr>
              <w:instrText xml:space="preserve"> PAGEREF _Toc9404323 \h </w:instrText>
            </w:r>
            <w:r w:rsidR="005A1638">
              <w:rPr>
                <w:noProof/>
                <w:webHidden/>
              </w:rPr>
            </w:r>
            <w:r w:rsidR="005A1638">
              <w:rPr>
                <w:noProof/>
                <w:webHidden/>
              </w:rPr>
              <w:fldChar w:fldCharType="separate"/>
            </w:r>
            <w:r w:rsidR="005A1638">
              <w:rPr>
                <w:noProof/>
                <w:webHidden/>
              </w:rPr>
              <w:t>11</w:t>
            </w:r>
            <w:r w:rsidR="005A1638">
              <w:rPr>
                <w:noProof/>
                <w:webHidden/>
              </w:rPr>
              <w:fldChar w:fldCharType="end"/>
            </w:r>
          </w:hyperlink>
        </w:p>
        <w:p w14:paraId="0E35472E" w14:textId="6C0718A1" w:rsidR="005A1638" w:rsidRDefault="00042C3D">
          <w:pPr>
            <w:pStyle w:val="TOC2"/>
            <w:tabs>
              <w:tab w:val="right" w:leader="dot" w:pos="9350"/>
            </w:tabs>
            <w:rPr>
              <w:noProof/>
            </w:rPr>
          </w:pPr>
          <w:hyperlink w:anchor="_Toc9404324" w:history="1">
            <w:r w:rsidR="005A1638" w:rsidRPr="00A8724B">
              <w:rPr>
                <w:rStyle w:val="Hyperlink"/>
                <w:rFonts w:eastAsia="Calibri"/>
                <w:noProof/>
                <w:shd w:val="clear" w:color="auto" w:fill="FFFFFF"/>
              </w:rPr>
              <w:t>ONC’s Trusted Exchange Framework and Common Agreement</w:t>
            </w:r>
            <w:r w:rsidR="005A1638">
              <w:rPr>
                <w:noProof/>
                <w:webHidden/>
              </w:rPr>
              <w:tab/>
            </w:r>
            <w:r w:rsidR="005A1638">
              <w:rPr>
                <w:noProof/>
                <w:webHidden/>
              </w:rPr>
              <w:fldChar w:fldCharType="begin"/>
            </w:r>
            <w:r w:rsidR="005A1638">
              <w:rPr>
                <w:noProof/>
                <w:webHidden/>
              </w:rPr>
              <w:instrText xml:space="preserve"> PAGEREF _Toc9404324 \h </w:instrText>
            </w:r>
            <w:r w:rsidR="005A1638">
              <w:rPr>
                <w:noProof/>
                <w:webHidden/>
              </w:rPr>
            </w:r>
            <w:r w:rsidR="005A1638">
              <w:rPr>
                <w:noProof/>
                <w:webHidden/>
              </w:rPr>
              <w:fldChar w:fldCharType="separate"/>
            </w:r>
            <w:r w:rsidR="005A1638">
              <w:rPr>
                <w:noProof/>
                <w:webHidden/>
              </w:rPr>
              <w:t>11</w:t>
            </w:r>
            <w:r w:rsidR="005A1638">
              <w:rPr>
                <w:noProof/>
                <w:webHidden/>
              </w:rPr>
              <w:fldChar w:fldCharType="end"/>
            </w:r>
          </w:hyperlink>
        </w:p>
        <w:p w14:paraId="2CF86FED" w14:textId="709DFA8C" w:rsidR="005A1638" w:rsidRDefault="00042C3D">
          <w:pPr>
            <w:pStyle w:val="TOC1"/>
            <w:tabs>
              <w:tab w:val="right" w:leader="dot" w:pos="9350"/>
            </w:tabs>
            <w:rPr>
              <w:noProof/>
            </w:rPr>
          </w:pPr>
          <w:hyperlink w:anchor="_Toc9404325" w:history="1">
            <w:r w:rsidR="005A1638" w:rsidRPr="00A8724B">
              <w:rPr>
                <w:rStyle w:val="Hyperlink"/>
                <w:rFonts w:eastAsia="Calibri Light"/>
                <w:noProof/>
              </w:rPr>
              <w:t>Conclusion</w:t>
            </w:r>
            <w:r w:rsidR="005A1638">
              <w:rPr>
                <w:noProof/>
                <w:webHidden/>
              </w:rPr>
              <w:tab/>
            </w:r>
            <w:r w:rsidR="005A1638">
              <w:rPr>
                <w:noProof/>
                <w:webHidden/>
              </w:rPr>
              <w:fldChar w:fldCharType="begin"/>
            </w:r>
            <w:r w:rsidR="005A1638">
              <w:rPr>
                <w:noProof/>
                <w:webHidden/>
              </w:rPr>
              <w:instrText xml:space="preserve"> PAGEREF _Toc9404325 \h </w:instrText>
            </w:r>
            <w:r w:rsidR="005A1638">
              <w:rPr>
                <w:noProof/>
                <w:webHidden/>
              </w:rPr>
            </w:r>
            <w:r w:rsidR="005A1638">
              <w:rPr>
                <w:noProof/>
                <w:webHidden/>
              </w:rPr>
              <w:fldChar w:fldCharType="separate"/>
            </w:r>
            <w:r w:rsidR="005A1638">
              <w:rPr>
                <w:noProof/>
                <w:webHidden/>
              </w:rPr>
              <w:t>12</w:t>
            </w:r>
            <w:r w:rsidR="005A1638">
              <w:rPr>
                <w:noProof/>
                <w:webHidden/>
              </w:rPr>
              <w:fldChar w:fldCharType="end"/>
            </w:r>
          </w:hyperlink>
        </w:p>
        <w:p w14:paraId="51EAA420" w14:textId="209F8BE1" w:rsidR="005A1638" w:rsidRDefault="00042C3D">
          <w:pPr>
            <w:pStyle w:val="TOC1"/>
            <w:tabs>
              <w:tab w:val="right" w:leader="dot" w:pos="9350"/>
            </w:tabs>
            <w:rPr>
              <w:noProof/>
            </w:rPr>
          </w:pPr>
          <w:hyperlink w:anchor="_Toc9404326" w:history="1">
            <w:r w:rsidR="005A1638" w:rsidRPr="00A8724B">
              <w:rPr>
                <w:rStyle w:val="Hyperlink"/>
                <w:rFonts w:eastAsia="Calibri"/>
                <w:noProof/>
              </w:rPr>
              <w:t>Appendix.</w:t>
            </w:r>
            <w:r w:rsidR="005A1638">
              <w:rPr>
                <w:noProof/>
                <w:webHidden/>
              </w:rPr>
              <w:tab/>
            </w:r>
            <w:r w:rsidR="005A1638">
              <w:rPr>
                <w:noProof/>
                <w:webHidden/>
              </w:rPr>
              <w:fldChar w:fldCharType="begin"/>
            </w:r>
            <w:r w:rsidR="005A1638">
              <w:rPr>
                <w:noProof/>
                <w:webHidden/>
              </w:rPr>
              <w:instrText xml:space="preserve"> PAGEREF _Toc9404326 \h </w:instrText>
            </w:r>
            <w:r w:rsidR="005A1638">
              <w:rPr>
                <w:noProof/>
                <w:webHidden/>
              </w:rPr>
            </w:r>
            <w:r w:rsidR="005A1638">
              <w:rPr>
                <w:noProof/>
                <w:webHidden/>
              </w:rPr>
              <w:fldChar w:fldCharType="separate"/>
            </w:r>
            <w:r w:rsidR="005A1638">
              <w:rPr>
                <w:noProof/>
                <w:webHidden/>
              </w:rPr>
              <w:t>13</w:t>
            </w:r>
            <w:r w:rsidR="005A1638">
              <w:rPr>
                <w:noProof/>
                <w:webHidden/>
              </w:rPr>
              <w:fldChar w:fldCharType="end"/>
            </w:r>
          </w:hyperlink>
        </w:p>
        <w:p w14:paraId="6331DCC7" w14:textId="5156ED97" w:rsidR="00C16846" w:rsidRDefault="00C16846">
          <w:r>
            <w:rPr>
              <w:b/>
              <w:bCs/>
              <w:noProof/>
            </w:rPr>
            <w:fldChar w:fldCharType="end"/>
          </w:r>
        </w:p>
      </w:sdtContent>
    </w:sdt>
    <w:p w14:paraId="286B1D34" w14:textId="77777777" w:rsidR="002B6F14" w:rsidRDefault="002B6F14">
      <w:pPr>
        <w:rPr>
          <w:rFonts w:asciiTheme="majorHAnsi" w:eastAsia="Calibri Light" w:hAnsiTheme="majorHAnsi" w:cstheme="majorBidi"/>
          <w:color w:val="2E74B5" w:themeColor="accent1" w:themeShade="BF"/>
          <w:sz w:val="32"/>
          <w:szCs w:val="32"/>
        </w:rPr>
      </w:pPr>
      <w:r>
        <w:rPr>
          <w:rFonts w:eastAsia="Calibri Light"/>
        </w:rPr>
        <w:br w:type="page"/>
      </w:r>
    </w:p>
    <w:p w14:paraId="04F48A58" w14:textId="4A8CA4C7" w:rsidR="002F414A" w:rsidRPr="002F414A" w:rsidRDefault="00606621" w:rsidP="002F414A">
      <w:pPr>
        <w:keepNext/>
        <w:keepLines/>
        <w:spacing w:before="240" w:after="0"/>
        <w:outlineLvl w:val="0"/>
        <w:rPr>
          <w:rFonts w:asciiTheme="majorHAnsi" w:eastAsia="Calibri Light" w:hAnsiTheme="majorHAnsi" w:cstheme="majorBidi"/>
          <w:color w:val="2E74B5" w:themeColor="accent1" w:themeShade="BF"/>
          <w:sz w:val="32"/>
          <w:szCs w:val="32"/>
        </w:rPr>
      </w:pPr>
      <w:bookmarkStart w:id="0" w:name="_Toc9404314"/>
      <w:bookmarkStart w:id="1" w:name="_Toc521321968"/>
      <w:r>
        <w:rPr>
          <w:rFonts w:asciiTheme="majorHAnsi" w:eastAsia="Calibri Light" w:hAnsiTheme="majorHAnsi" w:cstheme="majorBidi"/>
          <w:color w:val="2E74B5" w:themeColor="accent1" w:themeShade="BF"/>
          <w:sz w:val="32"/>
          <w:szCs w:val="32"/>
        </w:rPr>
        <w:lastRenderedPageBreak/>
        <w:t>Preface</w:t>
      </w:r>
      <w:bookmarkEnd w:id="0"/>
    </w:p>
    <w:bookmarkEnd w:id="1"/>
    <w:p w14:paraId="346C0CF0" w14:textId="468C16A9" w:rsidR="002F414A" w:rsidRPr="002F414A" w:rsidRDefault="002F414A" w:rsidP="002F414A">
      <w:pPr>
        <w:rPr>
          <w:rFonts w:ascii="Calibri" w:eastAsia="Calibri" w:hAnsi="Calibri" w:cs="Calibri"/>
        </w:rPr>
      </w:pPr>
      <w:r w:rsidRPr="002F414A">
        <w:rPr>
          <w:rFonts w:ascii="Calibri" w:eastAsia="Calibri" w:hAnsi="Calibri" w:cs="Calibri"/>
        </w:rPr>
        <w:t>The Federal Health Architecture (FHA)</w:t>
      </w:r>
      <w:r w:rsidRPr="002F414A">
        <w:rPr>
          <w:rFonts w:cstheme="minorHAnsi"/>
          <w:color w:val="000000"/>
        </w:rPr>
        <w:t>, an Office of Management and Budget (OMB) e-</w:t>
      </w:r>
      <w:r w:rsidR="00E226CE">
        <w:rPr>
          <w:rFonts w:cstheme="minorHAnsi"/>
          <w:color w:val="000000"/>
        </w:rPr>
        <w:t>g</w:t>
      </w:r>
      <w:r w:rsidRPr="002F414A">
        <w:rPr>
          <w:rFonts w:cstheme="minorHAnsi"/>
          <w:color w:val="000000"/>
        </w:rPr>
        <w:t xml:space="preserve">ov </w:t>
      </w:r>
      <w:r w:rsidR="00E226CE">
        <w:rPr>
          <w:rFonts w:cstheme="minorHAnsi"/>
          <w:color w:val="000000"/>
        </w:rPr>
        <w:t>l</w:t>
      </w:r>
      <w:r w:rsidRPr="002F414A">
        <w:rPr>
          <w:rFonts w:cstheme="minorHAnsi"/>
          <w:color w:val="000000"/>
        </w:rPr>
        <w:t>ine of business,</w:t>
      </w:r>
      <w:r w:rsidRPr="002F414A">
        <w:rPr>
          <w:rFonts w:ascii="Calibri" w:eastAsia="Calibri" w:hAnsi="Calibri" w:cs="Calibri"/>
        </w:rPr>
        <w:t xml:space="preserve"> has published a series of National Information Exchange Model (NIEM) guidance documents for the NIEM Health </w:t>
      </w:r>
      <w:r w:rsidR="00E226CE">
        <w:rPr>
          <w:rFonts w:ascii="Calibri" w:eastAsia="Calibri" w:hAnsi="Calibri" w:cs="Calibri"/>
        </w:rPr>
        <w:t>c</w:t>
      </w:r>
      <w:r w:rsidRPr="002F414A">
        <w:rPr>
          <w:rFonts w:ascii="Calibri" w:eastAsia="Calibri" w:hAnsi="Calibri" w:cs="Calibri"/>
        </w:rPr>
        <w:t xml:space="preserve">ommunity of </w:t>
      </w:r>
      <w:r w:rsidR="00E226CE">
        <w:rPr>
          <w:rFonts w:ascii="Calibri" w:eastAsia="Calibri" w:hAnsi="Calibri" w:cs="Calibri"/>
        </w:rPr>
        <w:t>i</w:t>
      </w:r>
      <w:r w:rsidRPr="002F414A">
        <w:rPr>
          <w:rFonts w:ascii="Calibri" w:eastAsia="Calibri" w:hAnsi="Calibri" w:cs="Calibri"/>
        </w:rPr>
        <w:t>nterest (NH-COI) and NIEM stakeholders at large:</w:t>
      </w:r>
    </w:p>
    <w:p w14:paraId="30392B28" w14:textId="51DCD7D6" w:rsidR="002F414A" w:rsidRPr="002F414A" w:rsidRDefault="002F414A" w:rsidP="002F414A">
      <w:pPr>
        <w:numPr>
          <w:ilvl w:val="0"/>
          <w:numId w:val="10"/>
        </w:numPr>
        <w:rPr>
          <w:rFonts w:ascii="Calibri" w:eastAsia="Calibri" w:hAnsi="Calibri" w:cs="Calibri"/>
        </w:rPr>
      </w:pPr>
      <w:r w:rsidRPr="002F414A">
        <w:rPr>
          <w:rFonts w:ascii="Calibri" w:eastAsia="Calibri" w:hAnsi="Calibri" w:cs="Calibri"/>
        </w:rPr>
        <w:t>NIEM Health</w:t>
      </w:r>
      <w:r w:rsidR="00C061AD">
        <w:rPr>
          <w:rFonts w:ascii="Calibri" w:eastAsia="Calibri" w:hAnsi="Calibri" w:cs="Calibri"/>
        </w:rPr>
        <w:t xml:space="preserve"> </w:t>
      </w:r>
      <w:r w:rsidRPr="002F414A">
        <w:rPr>
          <w:rFonts w:ascii="Calibri" w:eastAsia="Calibri" w:hAnsi="Calibri" w:cs="Calibri"/>
        </w:rPr>
        <w:t>101: An Introduction to Health Information Exchange</w:t>
      </w:r>
      <w:r w:rsidR="00976D00">
        <w:rPr>
          <w:rFonts w:ascii="Calibri" w:eastAsia="Calibri" w:hAnsi="Calibri" w:cs="Calibri"/>
        </w:rPr>
        <w:t>,</w:t>
      </w:r>
    </w:p>
    <w:p w14:paraId="1429DC9B" w14:textId="205110C6" w:rsidR="00E226CE" w:rsidRPr="002F414A" w:rsidRDefault="002F414A" w:rsidP="002F414A">
      <w:pPr>
        <w:numPr>
          <w:ilvl w:val="0"/>
          <w:numId w:val="10"/>
        </w:numPr>
        <w:rPr>
          <w:rFonts w:ascii="Calibri" w:eastAsia="Calibri" w:hAnsi="Calibri" w:cs="Calibri"/>
        </w:rPr>
      </w:pPr>
      <w:r w:rsidRPr="002F414A">
        <w:rPr>
          <w:rFonts w:ascii="Calibri" w:eastAsia="Calibri" w:hAnsi="Calibri" w:cs="Calibri"/>
        </w:rPr>
        <w:t>NIEM Health</w:t>
      </w:r>
      <w:r w:rsidR="00C061AD">
        <w:rPr>
          <w:rFonts w:ascii="Calibri" w:eastAsia="Calibri" w:hAnsi="Calibri" w:cs="Calibri"/>
        </w:rPr>
        <w:t xml:space="preserve"> </w:t>
      </w:r>
      <w:r w:rsidRPr="002F414A">
        <w:rPr>
          <w:rFonts w:ascii="Calibri" w:eastAsia="Calibri" w:hAnsi="Calibri" w:cs="Calibri"/>
        </w:rPr>
        <w:t>102: An Introduction to Security and Privacy of Protected Healthcare Information</w:t>
      </w:r>
      <w:r w:rsidR="00976D00">
        <w:rPr>
          <w:rFonts w:ascii="Calibri" w:eastAsia="Calibri" w:hAnsi="Calibri" w:cs="Calibri"/>
        </w:rPr>
        <w:t>,</w:t>
      </w:r>
    </w:p>
    <w:p w14:paraId="2F1DBF5D" w14:textId="60FD4236" w:rsidR="00976D00" w:rsidRDefault="002F414A" w:rsidP="00976D00">
      <w:pPr>
        <w:numPr>
          <w:ilvl w:val="0"/>
          <w:numId w:val="10"/>
        </w:numPr>
        <w:rPr>
          <w:rFonts w:ascii="Calibri" w:eastAsia="Calibri" w:hAnsi="Calibri" w:cs="Calibri"/>
        </w:rPr>
      </w:pPr>
      <w:r w:rsidRPr="00E226CE">
        <w:rPr>
          <w:rFonts w:ascii="Calibri" w:eastAsia="Calibri" w:hAnsi="Calibri" w:cs="Calibri"/>
        </w:rPr>
        <w:t>NIEM Health</w:t>
      </w:r>
      <w:r w:rsidR="00C061AD">
        <w:rPr>
          <w:rFonts w:ascii="Calibri" w:eastAsia="Calibri" w:hAnsi="Calibri" w:cs="Calibri"/>
        </w:rPr>
        <w:t xml:space="preserve"> </w:t>
      </w:r>
      <w:r w:rsidRPr="00E226CE">
        <w:rPr>
          <w:rFonts w:ascii="Calibri" w:eastAsia="Calibri" w:hAnsi="Calibri" w:cs="Calibri"/>
        </w:rPr>
        <w:t xml:space="preserve">201: </w:t>
      </w:r>
      <w:r w:rsidR="003E1C82" w:rsidRPr="00E226CE">
        <w:rPr>
          <w:rFonts w:ascii="Calibri" w:eastAsia="Calibri" w:hAnsi="Calibri" w:cs="Calibri"/>
        </w:rPr>
        <w:t>Architecting NIEM Health IEPDs using Health Information Models</w:t>
      </w:r>
      <w:r w:rsidR="00976D00">
        <w:rPr>
          <w:rFonts w:ascii="Calibri" w:eastAsia="Calibri" w:hAnsi="Calibri" w:cs="Calibri"/>
        </w:rPr>
        <w:t>, and</w:t>
      </w:r>
    </w:p>
    <w:p w14:paraId="6929EE7A" w14:textId="45C884E3" w:rsidR="00E226CE" w:rsidRPr="00976D00" w:rsidRDefault="00976D00" w:rsidP="00976D00">
      <w:pPr>
        <w:numPr>
          <w:ilvl w:val="0"/>
          <w:numId w:val="10"/>
        </w:numPr>
        <w:rPr>
          <w:rFonts w:ascii="Calibri" w:eastAsia="Calibri" w:hAnsi="Calibri" w:cs="Calibri"/>
        </w:rPr>
      </w:pPr>
      <w:r>
        <w:rPr>
          <w:rFonts w:ascii="Calibri" w:eastAsia="Calibri" w:hAnsi="Calibri" w:cs="Calibri"/>
        </w:rPr>
        <w:t>NIEM Health Element Inventory.</w:t>
      </w:r>
    </w:p>
    <w:p w14:paraId="26CADA31" w14:textId="6EE1F9FD" w:rsidR="002F414A" w:rsidRPr="002F414A" w:rsidRDefault="002F414A">
      <w:pPr>
        <w:rPr>
          <w:rFonts w:ascii="Calibri" w:eastAsia="Calibri" w:hAnsi="Calibri" w:cs="Calibri"/>
        </w:rPr>
      </w:pPr>
      <w:r w:rsidRPr="005A1638">
        <w:rPr>
          <w:rFonts w:ascii="Calibri" w:eastAsia="Calibri" w:hAnsi="Calibri" w:cs="Calibri"/>
        </w:rPr>
        <w:t>NIEM Health</w:t>
      </w:r>
      <w:r w:rsidR="00C061AD">
        <w:rPr>
          <w:rFonts w:ascii="Calibri" w:eastAsia="Calibri" w:hAnsi="Calibri" w:cs="Calibri"/>
        </w:rPr>
        <w:t xml:space="preserve"> </w:t>
      </w:r>
      <w:r w:rsidRPr="005A1638">
        <w:rPr>
          <w:rFonts w:ascii="Calibri" w:eastAsia="Calibri" w:hAnsi="Calibri" w:cs="Calibri"/>
        </w:rPr>
        <w:t>102</w:t>
      </w:r>
      <w:r w:rsidRPr="002F414A">
        <w:rPr>
          <w:rFonts w:ascii="Calibri" w:eastAsia="Calibri" w:hAnsi="Calibri" w:cs="Calibri"/>
        </w:rPr>
        <w:t xml:space="preserve">, the </w:t>
      </w:r>
      <w:r>
        <w:rPr>
          <w:rFonts w:ascii="Calibri" w:eastAsia="Calibri" w:hAnsi="Calibri" w:cs="Calibri"/>
        </w:rPr>
        <w:t>second</w:t>
      </w:r>
      <w:r w:rsidRPr="002F414A">
        <w:rPr>
          <w:rFonts w:ascii="Calibri" w:eastAsia="Calibri" w:hAnsi="Calibri" w:cs="Calibri"/>
        </w:rPr>
        <w:t xml:space="preserve"> of the</w:t>
      </w:r>
      <w:r w:rsidR="003E1C82">
        <w:rPr>
          <w:rFonts w:ascii="Calibri" w:eastAsia="Calibri" w:hAnsi="Calibri" w:cs="Calibri"/>
        </w:rPr>
        <w:t>se</w:t>
      </w:r>
      <w:r w:rsidRPr="002F414A">
        <w:rPr>
          <w:rFonts w:ascii="Calibri" w:eastAsia="Calibri" w:hAnsi="Calibri" w:cs="Calibri"/>
        </w:rPr>
        <w:t xml:space="preserve"> NIEM guidance documents, provides a brief overview of </w:t>
      </w:r>
      <w:r>
        <w:rPr>
          <w:rFonts w:ascii="Calibri" w:eastAsia="Calibri" w:hAnsi="Calibri" w:cs="Calibri"/>
        </w:rPr>
        <w:t>the security and p</w:t>
      </w:r>
      <w:r w:rsidRPr="002F414A">
        <w:rPr>
          <w:rFonts w:ascii="Calibri" w:eastAsia="Calibri" w:hAnsi="Calibri" w:cs="Calibri"/>
        </w:rPr>
        <w:t xml:space="preserve">rivacy of </w:t>
      </w:r>
      <w:r w:rsidR="00D53F9B">
        <w:rPr>
          <w:rFonts w:ascii="Calibri" w:eastAsia="Calibri" w:hAnsi="Calibri" w:cs="Calibri"/>
        </w:rPr>
        <w:t>p</w:t>
      </w:r>
      <w:r w:rsidRPr="002F414A">
        <w:rPr>
          <w:rFonts w:ascii="Calibri" w:eastAsia="Calibri" w:hAnsi="Calibri" w:cs="Calibri"/>
        </w:rPr>
        <w:t xml:space="preserve">rotected </w:t>
      </w:r>
      <w:r w:rsidR="00D53F9B">
        <w:rPr>
          <w:rFonts w:ascii="Calibri" w:eastAsia="Calibri" w:hAnsi="Calibri" w:cs="Calibri"/>
        </w:rPr>
        <w:t>h</w:t>
      </w:r>
      <w:r w:rsidRPr="002F414A">
        <w:rPr>
          <w:rFonts w:ascii="Calibri" w:eastAsia="Calibri" w:hAnsi="Calibri" w:cs="Calibri"/>
        </w:rPr>
        <w:t xml:space="preserve">ealthcare </w:t>
      </w:r>
      <w:r w:rsidR="00D53F9B">
        <w:rPr>
          <w:rFonts w:ascii="Calibri" w:eastAsia="Calibri" w:hAnsi="Calibri" w:cs="Calibri"/>
        </w:rPr>
        <w:t>i</w:t>
      </w:r>
      <w:r w:rsidRPr="002F414A">
        <w:rPr>
          <w:rFonts w:ascii="Calibri" w:eastAsia="Calibri" w:hAnsi="Calibri" w:cs="Calibri"/>
        </w:rPr>
        <w:t>nformation</w:t>
      </w:r>
      <w:r w:rsidR="00D53F9B">
        <w:rPr>
          <w:rFonts w:ascii="Calibri" w:eastAsia="Calibri" w:hAnsi="Calibri" w:cs="Calibri"/>
        </w:rPr>
        <w:t xml:space="preserve"> (PHI)</w:t>
      </w:r>
      <w:r w:rsidRPr="002F414A">
        <w:rPr>
          <w:rFonts w:ascii="Calibri" w:eastAsia="Calibri" w:hAnsi="Calibri" w:cs="Calibri"/>
        </w:rPr>
        <w:t>. By the end of this guidance document you should better understand:</w:t>
      </w:r>
    </w:p>
    <w:p w14:paraId="1428149E" w14:textId="798B1664" w:rsidR="002F414A" w:rsidRDefault="00976D00" w:rsidP="002F414A">
      <w:pPr>
        <w:numPr>
          <w:ilvl w:val="0"/>
          <w:numId w:val="1"/>
        </w:numPr>
        <w:ind w:left="720" w:hanging="360"/>
        <w:rPr>
          <w:rFonts w:ascii="Calibri" w:eastAsia="Calibri" w:hAnsi="Calibri" w:cs="Calibri"/>
        </w:rPr>
      </w:pPr>
      <w:r>
        <w:rPr>
          <w:rFonts w:ascii="Calibri" w:eastAsia="Calibri" w:hAnsi="Calibri" w:cs="Calibri"/>
        </w:rPr>
        <w:t>p</w:t>
      </w:r>
      <w:r w:rsidR="002F414A">
        <w:rPr>
          <w:rFonts w:ascii="Calibri" w:eastAsia="Calibri" w:hAnsi="Calibri" w:cs="Calibri"/>
        </w:rPr>
        <w:t xml:space="preserve">rotected </w:t>
      </w:r>
      <w:r w:rsidR="00D53F9B">
        <w:rPr>
          <w:rFonts w:ascii="Calibri" w:eastAsia="Calibri" w:hAnsi="Calibri" w:cs="Calibri"/>
        </w:rPr>
        <w:t>h</w:t>
      </w:r>
      <w:r w:rsidR="002F414A">
        <w:rPr>
          <w:rFonts w:ascii="Calibri" w:eastAsia="Calibri" w:hAnsi="Calibri" w:cs="Calibri"/>
        </w:rPr>
        <w:t xml:space="preserve">ealthcare </w:t>
      </w:r>
      <w:r w:rsidR="00D53F9B">
        <w:rPr>
          <w:rFonts w:ascii="Calibri" w:eastAsia="Calibri" w:hAnsi="Calibri" w:cs="Calibri"/>
        </w:rPr>
        <w:t>i</w:t>
      </w:r>
      <w:r w:rsidR="002F414A">
        <w:rPr>
          <w:rFonts w:ascii="Calibri" w:eastAsia="Calibri" w:hAnsi="Calibri" w:cs="Calibri"/>
        </w:rPr>
        <w:t>nformation</w:t>
      </w:r>
      <w:r>
        <w:rPr>
          <w:rFonts w:ascii="Calibri" w:eastAsia="Calibri" w:hAnsi="Calibri" w:cs="Calibri"/>
        </w:rPr>
        <w:t>,</w:t>
      </w:r>
    </w:p>
    <w:p w14:paraId="5E419D1D" w14:textId="23BB7E6E" w:rsidR="002F414A" w:rsidRDefault="00976D00" w:rsidP="002F414A">
      <w:pPr>
        <w:numPr>
          <w:ilvl w:val="0"/>
          <w:numId w:val="1"/>
        </w:numPr>
        <w:ind w:left="720" w:hanging="360"/>
        <w:rPr>
          <w:rFonts w:ascii="Calibri" w:eastAsia="Calibri" w:hAnsi="Calibri" w:cs="Calibri"/>
        </w:rPr>
      </w:pPr>
      <w:bookmarkStart w:id="2" w:name="_Hlk523507345"/>
      <w:r>
        <w:rPr>
          <w:rFonts w:ascii="Calibri" w:eastAsia="Calibri" w:hAnsi="Calibri" w:cs="Calibri"/>
        </w:rPr>
        <w:t>p</w:t>
      </w:r>
      <w:r w:rsidR="00EA6085">
        <w:rPr>
          <w:rFonts w:ascii="Calibri" w:eastAsia="Calibri" w:hAnsi="Calibri" w:cs="Calibri"/>
        </w:rPr>
        <w:t xml:space="preserve">rivacy requirements </w:t>
      </w:r>
      <w:r w:rsidR="002A6293">
        <w:rPr>
          <w:rFonts w:ascii="Calibri" w:eastAsia="Calibri" w:hAnsi="Calibri" w:cs="Calibri"/>
        </w:rPr>
        <w:t>o</w:t>
      </w:r>
      <w:r w:rsidR="00EA6085">
        <w:rPr>
          <w:rFonts w:ascii="Calibri" w:eastAsia="Calibri" w:hAnsi="Calibri" w:cs="Calibri"/>
        </w:rPr>
        <w:t>f HIPAA</w:t>
      </w:r>
      <w:r>
        <w:rPr>
          <w:rFonts w:ascii="Calibri" w:eastAsia="Calibri" w:hAnsi="Calibri" w:cs="Calibri"/>
        </w:rPr>
        <w:t>,</w:t>
      </w:r>
    </w:p>
    <w:p w14:paraId="6694690D" w14:textId="494914B1" w:rsidR="003961A2" w:rsidRDefault="00976D00" w:rsidP="002F414A">
      <w:pPr>
        <w:numPr>
          <w:ilvl w:val="0"/>
          <w:numId w:val="1"/>
        </w:numPr>
        <w:ind w:left="720" w:hanging="360"/>
        <w:rPr>
          <w:rFonts w:ascii="Calibri" w:eastAsia="Calibri" w:hAnsi="Calibri" w:cs="Calibri"/>
        </w:rPr>
      </w:pPr>
      <w:r>
        <w:rPr>
          <w:rFonts w:ascii="Calibri" w:eastAsia="Calibri" w:hAnsi="Calibri" w:cs="Calibri"/>
        </w:rPr>
        <w:t>e</w:t>
      </w:r>
      <w:r w:rsidR="003961A2">
        <w:rPr>
          <w:rFonts w:ascii="Calibri" w:eastAsia="Calibri" w:hAnsi="Calibri" w:cs="Calibri"/>
        </w:rPr>
        <w:t>xceptions to the HIPAA Privacy Rule</w:t>
      </w:r>
      <w:r>
        <w:rPr>
          <w:rFonts w:ascii="Calibri" w:eastAsia="Calibri" w:hAnsi="Calibri" w:cs="Calibri"/>
        </w:rPr>
        <w:t>,</w:t>
      </w:r>
    </w:p>
    <w:p w14:paraId="140728B5" w14:textId="3A071349" w:rsidR="00EA6085" w:rsidRDefault="00976D00" w:rsidP="00EA6085">
      <w:pPr>
        <w:numPr>
          <w:ilvl w:val="0"/>
          <w:numId w:val="1"/>
        </w:numPr>
        <w:ind w:left="720" w:hanging="360"/>
        <w:rPr>
          <w:rFonts w:ascii="Calibri" w:eastAsia="Calibri" w:hAnsi="Calibri" w:cs="Calibri"/>
        </w:rPr>
      </w:pPr>
      <w:r>
        <w:rPr>
          <w:rFonts w:ascii="Calibri" w:eastAsia="Calibri" w:hAnsi="Calibri" w:cs="Calibri"/>
        </w:rPr>
        <w:t>s</w:t>
      </w:r>
      <w:r w:rsidR="00EA6085">
        <w:rPr>
          <w:rFonts w:ascii="Calibri" w:eastAsia="Calibri" w:hAnsi="Calibri" w:cs="Calibri"/>
        </w:rPr>
        <w:t>ecurity consequence</w:t>
      </w:r>
      <w:r w:rsidR="00A03269">
        <w:rPr>
          <w:rFonts w:ascii="Calibri" w:eastAsia="Calibri" w:hAnsi="Calibri" w:cs="Calibri"/>
        </w:rPr>
        <w:t>s</w:t>
      </w:r>
      <w:r w:rsidR="00EA6085">
        <w:rPr>
          <w:rFonts w:ascii="Calibri" w:eastAsia="Calibri" w:hAnsi="Calibri" w:cs="Calibri"/>
        </w:rPr>
        <w:t xml:space="preserve"> of the privacy requirements </w:t>
      </w:r>
      <w:r w:rsidR="00A03269">
        <w:rPr>
          <w:rFonts w:ascii="Calibri" w:eastAsia="Calibri" w:hAnsi="Calibri" w:cs="Calibri"/>
        </w:rPr>
        <w:t xml:space="preserve">of </w:t>
      </w:r>
      <w:r w:rsidR="00EA6085">
        <w:rPr>
          <w:rFonts w:ascii="Calibri" w:eastAsia="Calibri" w:hAnsi="Calibri" w:cs="Calibri"/>
        </w:rPr>
        <w:t>HIPAA</w:t>
      </w:r>
      <w:r>
        <w:rPr>
          <w:rFonts w:ascii="Calibri" w:eastAsia="Calibri" w:hAnsi="Calibri" w:cs="Calibri"/>
        </w:rPr>
        <w:t>, and</w:t>
      </w:r>
    </w:p>
    <w:p w14:paraId="519A9770" w14:textId="70C2E2EB" w:rsidR="00EA6085" w:rsidRDefault="00976D00" w:rsidP="00EA6085">
      <w:pPr>
        <w:numPr>
          <w:ilvl w:val="0"/>
          <w:numId w:val="1"/>
        </w:numPr>
        <w:ind w:left="720" w:hanging="360"/>
        <w:rPr>
          <w:rFonts w:ascii="Calibri" w:eastAsia="Calibri" w:hAnsi="Calibri" w:cs="Calibri"/>
        </w:rPr>
      </w:pPr>
      <w:r>
        <w:rPr>
          <w:rFonts w:ascii="Calibri" w:eastAsia="Calibri" w:hAnsi="Calibri" w:cs="Calibri"/>
        </w:rPr>
        <w:t>t</w:t>
      </w:r>
      <w:r w:rsidR="00EA6085">
        <w:rPr>
          <w:rFonts w:ascii="Calibri" w:eastAsia="Calibri" w:hAnsi="Calibri" w:cs="Calibri"/>
        </w:rPr>
        <w:t>rusted healthcare information exchange</w:t>
      </w:r>
      <w:r w:rsidR="00640D17">
        <w:rPr>
          <w:rFonts w:ascii="Calibri" w:eastAsia="Calibri" w:hAnsi="Calibri" w:cs="Calibri"/>
        </w:rPr>
        <w:t xml:space="preserve"> frameworks</w:t>
      </w:r>
      <w:r>
        <w:rPr>
          <w:rFonts w:ascii="Calibri" w:eastAsia="Calibri" w:hAnsi="Calibri" w:cs="Calibri"/>
        </w:rPr>
        <w:t>.</w:t>
      </w:r>
    </w:p>
    <w:bookmarkEnd w:id="2"/>
    <w:p w14:paraId="60ABBB33" w14:textId="7FC58E61" w:rsidR="002F414A" w:rsidRPr="002F414A" w:rsidRDefault="002F414A" w:rsidP="002F414A">
      <w:pPr>
        <w:rPr>
          <w:rFonts w:ascii="Calibri" w:eastAsia="Calibri" w:hAnsi="Calibri" w:cs="Calibri"/>
        </w:rPr>
      </w:pPr>
      <w:r w:rsidRPr="002F414A">
        <w:rPr>
          <w:rFonts w:ascii="Calibri" w:eastAsia="Calibri" w:hAnsi="Calibri" w:cs="Calibri"/>
        </w:rPr>
        <w:t>Note: This document should be used in conjunction with the follow-up NIEM Health</w:t>
      </w:r>
      <w:r w:rsidR="00042C3D">
        <w:rPr>
          <w:rFonts w:ascii="Calibri" w:eastAsia="Calibri" w:hAnsi="Calibri" w:cs="Calibri"/>
        </w:rPr>
        <w:t xml:space="preserve"> </w:t>
      </w:r>
      <w:bookmarkStart w:id="3" w:name="_GoBack"/>
      <w:bookmarkEnd w:id="3"/>
      <w:r w:rsidRPr="002F414A">
        <w:rPr>
          <w:rFonts w:ascii="Calibri" w:eastAsia="Calibri" w:hAnsi="Calibri" w:cs="Calibri"/>
        </w:rPr>
        <w:t xml:space="preserve">201: </w:t>
      </w:r>
      <w:r w:rsidR="003E1C82" w:rsidRPr="003E1C82">
        <w:rPr>
          <w:rFonts w:ascii="Calibri" w:eastAsia="Calibri" w:hAnsi="Calibri" w:cs="Calibri"/>
        </w:rPr>
        <w:t>Architecting NIEM Health</w:t>
      </w:r>
      <w:r w:rsidR="0046277A">
        <w:rPr>
          <w:rFonts w:ascii="Calibri" w:eastAsia="Calibri" w:hAnsi="Calibri" w:cs="Calibri"/>
        </w:rPr>
        <w:t xml:space="preserve"> </w:t>
      </w:r>
      <w:r w:rsidR="0046277A" w:rsidRPr="0046277A">
        <w:rPr>
          <w:rFonts w:ascii="Calibri" w:eastAsia="Calibri" w:hAnsi="Calibri" w:cs="Calibri"/>
        </w:rPr>
        <w:t>Information Exchange Package Documentatio</w:t>
      </w:r>
      <w:r w:rsidR="0046277A">
        <w:rPr>
          <w:rFonts w:ascii="Calibri" w:eastAsia="Calibri" w:hAnsi="Calibri" w:cs="Calibri"/>
        </w:rPr>
        <w:t>n</w:t>
      </w:r>
      <w:r w:rsidR="003E1C82" w:rsidRPr="003E1C82">
        <w:rPr>
          <w:rFonts w:ascii="Calibri" w:eastAsia="Calibri" w:hAnsi="Calibri" w:cs="Calibri"/>
        </w:rPr>
        <w:t xml:space="preserve"> </w:t>
      </w:r>
      <w:r w:rsidR="0046277A">
        <w:rPr>
          <w:rFonts w:ascii="Calibri" w:eastAsia="Calibri" w:hAnsi="Calibri" w:cs="Calibri"/>
        </w:rPr>
        <w:t>(</w:t>
      </w:r>
      <w:r w:rsidR="003E1C82" w:rsidRPr="003E1C82">
        <w:rPr>
          <w:rFonts w:ascii="Calibri" w:eastAsia="Calibri" w:hAnsi="Calibri" w:cs="Calibri"/>
        </w:rPr>
        <w:t>IEPDs</w:t>
      </w:r>
      <w:r w:rsidR="0046277A">
        <w:rPr>
          <w:rFonts w:ascii="Calibri" w:eastAsia="Calibri" w:hAnsi="Calibri" w:cs="Calibri"/>
        </w:rPr>
        <w:t>)</w:t>
      </w:r>
      <w:r w:rsidR="003E1C82" w:rsidRPr="003E1C82">
        <w:rPr>
          <w:rFonts w:ascii="Calibri" w:eastAsia="Calibri" w:hAnsi="Calibri" w:cs="Calibri"/>
        </w:rPr>
        <w:t xml:space="preserve"> using Health Information Models</w:t>
      </w:r>
      <w:r w:rsidRPr="002F414A">
        <w:rPr>
          <w:rFonts w:ascii="Calibri" w:eastAsia="Calibri" w:hAnsi="Calibri" w:cs="Calibri"/>
        </w:rPr>
        <w:t xml:space="preserve"> guidance document and </w:t>
      </w:r>
      <w:hyperlink r:id="rId10" w:history="1">
        <w:r w:rsidR="00B76956" w:rsidRPr="00DB4DAC">
          <w:rPr>
            <w:rStyle w:val="Hyperlink"/>
            <w:rFonts w:ascii="Calibri" w:eastAsia="Calibri" w:hAnsi="Calibri" w:cs="Calibri"/>
          </w:rPr>
          <w:t>www.fhims.org</w:t>
        </w:r>
      </w:hyperlink>
      <w:r w:rsidRPr="002F414A">
        <w:rPr>
          <w:rFonts w:ascii="Calibri" w:eastAsia="Calibri" w:hAnsi="Calibri" w:cs="Calibri"/>
        </w:rPr>
        <w:t>.</w:t>
      </w:r>
    </w:p>
    <w:p w14:paraId="48154317" w14:textId="261EDCE1" w:rsidR="009C299E" w:rsidRDefault="00591101">
      <w:pPr>
        <w:rPr>
          <w:rFonts w:ascii="Calibri Light" w:eastAsia="Calibri Light" w:hAnsi="Calibri Light" w:cs="Calibri Light"/>
          <w:color w:val="2F5496"/>
          <w:sz w:val="32"/>
        </w:rPr>
      </w:pPr>
      <w:r>
        <w:rPr>
          <w:rFonts w:ascii="Calibri Light" w:eastAsia="Calibri Light" w:hAnsi="Calibri Light" w:cs="Calibri Light"/>
          <w:color w:val="2F5496"/>
          <w:sz w:val="32"/>
        </w:rPr>
        <w:t xml:space="preserve"> </w:t>
      </w:r>
    </w:p>
    <w:p w14:paraId="090C7BB5" w14:textId="77777777" w:rsidR="009C299E" w:rsidRDefault="009C299E">
      <w:pPr>
        <w:rPr>
          <w:rFonts w:ascii="Calibri Light" w:eastAsia="Calibri Light" w:hAnsi="Calibri Light" w:cs="Calibri Light"/>
          <w:color w:val="2F5496"/>
          <w:sz w:val="32"/>
        </w:rPr>
      </w:pPr>
      <w:r>
        <w:rPr>
          <w:rFonts w:ascii="Calibri Light" w:eastAsia="Calibri Light" w:hAnsi="Calibri Light" w:cs="Calibri Light"/>
          <w:color w:val="2F5496"/>
          <w:sz w:val="32"/>
        </w:rPr>
        <w:br w:type="page"/>
      </w:r>
    </w:p>
    <w:p w14:paraId="1F86561B" w14:textId="77777777" w:rsidR="00CB0E54" w:rsidRDefault="00591101" w:rsidP="00C16846">
      <w:pPr>
        <w:pStyle w:val="Heading1"/>
        <w:rPr>
          <w:rFonts w:eastAsia="Calibri Light"/>
        </w:rPr>
      </w:pPr>
      <w:bookmarkStart w:id="4" w:name="_Toc9404315"/>
      <w:r>
        <w:rPr>
          <w:rFonts w:eastAsia="Calibri Light"/>
        </w:rPr>
        <w:lastRenderedPageBreak/>
        <w:t>Introduction</w:t>
      </w:r>
      <w:bookmarkEnd w:id="4"/>
    </w:p>
    <w:p w14:paraId="2FB15419" w14:textId="1868DA0B" w:rsidR="00D53F9B" w:rsidRDefault="00591101">
      <w:pPr>
        <w:tabs>
          <w:tab w:val="left" w:pos="720"/>
        </w:tabs>
        <w:rPr>
          <w:rFonts w:ascii="Calibri" w:eastAsia="Calibri" w:hAnsi="Calibri" w:cs="Calibri"/>
        </w:rPr>
      </w:pPr>
      <w:r>
        <w:rPr>
          <w:rFonts w:ascii="Calibri" w:eastAsia="Calibri" w:hAnsi="Calibri" w:cs="Calibri"/>
        </w:rPr>
        <w:t xml:space="preserve">Privacy and security are both critical aspects of </w:t>
      </w:r>
      <w:r w:rsidR="00D53F9B">
        <w:rPr>
          <w:rFonts w:ascii="Calibri" w:eastAsia="Calibri" w:hAnsi="Calibri" w:cs="Calibri"/>
        </w:rPr>
        <w:t>h</w:t>
      </w:r>
      <w:r w:rsidR="0082495E">
        <w:rPr>
          <w:rFonts w:ascii="Calibri" w:eastAsia="Calibri" w:hAnsi="Calibri" w:cs="Calibri"/>
        </w:rPr>
        <w:t>ealth</w:t>
      </w:r>
      <w:r w:rsidR="0046277A">
        <w:rPr>
          <w:rFonts w:ascii="Calibri" w:eastAsia="Calibri" w:hAnsi="Calibri" w:cs="Calibri"/>
        </w:rPr>
        <w:t xml:space="preserve"> information technology</w:t>
      </w:r>
      <w:r w:rsidR="0082495E">
        <w:rPr>
          <w:rFonts w:ascii="Calibri" w:eastAsia="Calibri" w:hAnsi="Calibri" w:cs="Calibri"/>
        </w:rPr>
        <w:t xml:space="preserve"> </w:t>
      </w:r>
      <w:r w:rsidR="0046277A">
        <w:rPr>
          <w:rFonts w:ascii="Calibri" w:eastAsia="Calibri" w:hAnsi="Calibri" w:cs="Calibri"/>
        </w:rPr>
        <w:t>(</w:t>
      </w:r>
      <w:r w:rsidR="0082495E">
        <w:rPr>
          <w:rFonts w:ascii="Calibri" w:eastAsia="Calibri" w:hAnsi="Calibri" w:cs="Calibri"/>
        </w:rPr>
        <w:t>IT</w:t>
      </w:r>
      <w:r w:rsidR="0046277A">
        <w:rPr>
          <w:rFonts w:ascii="Calibri" w:eastAsia="Calibri" w:hAnsi="Calibri" w:cs="Calibri"/>
        </w:rPr>
        <w:t>)</w:t>
      </w:r>
      <w:r>
        <w:rPr>
          <w:rFonts w:ascii="Calibri" w:eastAsia="Calibri" w:hAnsi="Calibri" w:cs="Calibri"/>
        </w:rPr>
        <w:t>. In 1996</w:t>
      </w:r>
      <w:r w:rsidR="00E24C3C">
        <w:rPr>
          <w:rFonts w:ascii="Calibri" w:eastAsia="Calibri" w:hAnsi="Calibri" w:cs="Calibri"/>
        </w:rPr>
        <w:t>,</w:t>
      </w:r>
      <w:r>
        <w:rPr>
          <w:rFonts w:ascii="Calibri" w:eastAsia="Calibri" w:hAnsi="Calibri" w:cs="Calibri"/>
        </w:rPr>
        <w:t xml:space="preserve"> Congress passed the </w:t>
      </w:r>
      <w:r w:rsidRPr="00F86263">
        <w:rPr>
          <w:rFonts w:ascii="Calibri" w:eastAsia="Calibri" w:hAnsi="Calibri" w:cs="Calibri"/>
        </w:rPr>
        <w:t>Health Information Portability and Accountability Act</w:t>
      </w:r>
      <w:r w:rsidRPr="00C02A5C">
        <w:rPr>
          <w:rFonts w:ascii="Calibri" w:eastAsia="Calibri" w:hAnsi="Calibri" w:cs="Calibri"/>
        </w:rPr>
        <w:t xml:space="preserve"> </w:t>
      </w:r>
      <w:r>
        <w:rPr>
          <w:rFonts w:ascii="Calibri" w:eastAsia="Calibri" w:hAnsi="Calibri" w:cs="Calibri"/>
        </w:rPr>
        <w:t xml:space="preserve">(HIPAA), a federal law that provides data privacy and security provisions for safeguarding medical information. </w:t>
      </w:r>
      <w:r w:rsidR="00E24C3C">
        <w:rPr>
          <w:rFonts w:ascii="Calibri" w:eastAsia="Calibri" w:hAnsi="Calibri" w:cs="Calibri"/>
        </w:rPr>
        <w:t>HIPAA was created in response to</w:t>
      </w:r>
      <w:r w:rsidR="006D087F">
        <w:rPr>
          <w:rFonts w:ascii="Calibri" w:eastAsia="Calibri" w:hAnsi="Calibri" w:cs="Calibri"/>
        </w:rPr>
        <w:t xml:space="preserve"> </w:t>
      </w:r>
      <w:r w:rsidR="00D53F9B">
        <w:rPr>
          <w:rFonts w:ascii="Calibri" w:eastAsia="Calibri" w:hAnsi="Calibri" w:cs="Calibri"/>
        </w:rPr>
        <w:t xml:space="preserve">the </w:t>
      </w:r>
      <w:r w:rsidR="006D087F">
        <w:rPr>
          <w:rFonts w:ascii="Calibri" w:eastAsia="Calibri" w:hAnsi="Calibri" w:cs="Calibri"/>
        </w:rPr>
        <w:t>need for</w:t>
      </w:r>
      <w:r w:rsidR="00E24C3C">
        <w:rPr>
          <w:rFonts w:ascii="Calibri" w:eastAsia="Calibri" w:hAnsi="Calibri" w:cs="Calibri"/>
        </w:rPr>
        <w:t xml:space="preserve"> </w:t>
      </w:r>
      <w:r w:rsidR="006D087F">
        <w:rPr>
          <w:rFonts w:ascii="Calibri" w:eastAsia="Calibri" w:hAnsi="Calibri" w:cs="Calibri"/>
        </w:rPr>
        <w:t>h</w:t>
      </w:r>
      <w:r w:rsidR="00E24C3C">
        <w:rPr>
          <w:rFonts w:ascii="Calibri" w:eastAsia="Calibri" w:hAnsi="Calibri" w:cs="Calibri"/>
        </w:rPr>
        <w:t xml:space="preserve">ealthcare </w:t>
      </w:r>
      <w:r w:rsidR="006D087F">
        <w:rPr>
          <w:rFonts w:ascii="Calibri" w:eastAsia="Calibri" w:hAnsi="Calibri" w:cs="Calibri"/>
        </w:rPr>
        <w:t>r</w:t>
      </w:r>
      <w:r w:rsidR="00E24C3C">
        <w:rPr>
          <w:rFonts w:ascii="Calibri" w:eastAsia="Calibri" w:hAnsi="Calibri" w:cs="Calibri"/>
        </w:rPr>
        <w:t xml:space="preserve">eform, which aims to protect health insurance coverage, improve access to healthcare, reduce fraud and abuse, improve quality of healthcare, and decrease healthcare administrative costs (electronic transactions). </w:t>
      </w:r>
    </w:p>
    <w:p w14:paraId="2EE8835E" w14:textId="1A8D48C2" w:rsidR="00224426" w:rsidRDefault="00591101">
      <w:pPr>
        <w:tabs>
          <w:tab w:val="left" w:pos="720"/>
        </w:tabs>
      </w:pPr>
      <w:r>
        <w:rPr>
          <w:rFonts w:ascii="Calibri" w:eastAsia="Calibri" w:hAnsi="Calibri" w:cs="Calibri"/>
        </w:rPr>
        <w:t>HIPAA places protections on most</w:t>
      </w:r>
      <w:r>
        <w:rPr>
          <w:rFonts w:ascii="Calibri" w:eastAsia="Calibri" w:hAnsi="Calibri" w:cs="Calibri"/>
          <w:shd w:val="clear" w:color="auto" w:fill="FFFFFF"/>
        </w:rPr>
        <w:t xml:space="preserve"> individually identifiable health information held or transmitted by a covered entity or its business associate in any form or medium, whether electronic, on paper, or oral</w:t>
      </w:r>
      <w:r w:rsidR="0082495E">
        <w:rPr>
          <w:rFonts w:ascii="Calibri" w:eastAsia="Calibri" w:hAnsi="Calibri" w:cs="Calibri"/>
          <w:shd w:val="clear" w:color="auto" w:fill="FFFFFF"/>
        </w:rPr>
        <w:t>ly</w:t>
      </w:r>
      <w:r>
        <w:rPr>
          <w:rFonts w:ascii="Calibri" w:eastAsia="Calibri" w:hAnsi="Calibri" w:cs="Calibri"/>
          <w:shd w:val="clear" w:color="auto" w:fill="FFFFFF"/>
        </w:rPr>
        <w:t xml:space="preserve">. </w:t>
      </w:r>
      <w:r>
        <w:rPr>
          <w:rFonts w:ascii="Calibri" w:eastAsia="Calibri" w:hAnsi="Calibri" w:cs="Calibri"/>
        </w:rPr>
        <w:t xml:space="preserve">HIPAA has since been updated and additional policies and guidelines </w:t>
      </w:r>
      <w:r w:rsidR="000D7E3F">
        <w:rPr>
          <w:rFonts w:ascii="Calibri" w:eastAsia="Calibri" w:hAnsi="Calibri" w:cs="Calibri"/>
        </w:rPr>
        <w:t xml:space="preserve">have been released </w:t>
      </w:r>
      <w:r>
        <w:rPr>
          <w:rFonts w:ascii="Calibri" w:eastAsia="Calibri" w:hAnsi="Calibri" w:cs="Calibri"/>
        </w:rPr>
        <w:t>surrounding patient privacy as well as the security of data (the type of information that is protected, how and where data is stored, the transport of information, etc.)</w:t>
      </w:r>
      <w:r w:rsidR="000D7E3F">
        <w:rPr>
          <w:rFonts w:ascii="Calibri" w:eastAsia="Calibri" w:hAnsi="Calibri" w:cs="Calibri"/>
        </w:rPr>
        <w:t xml:space="preserve">. The updates </w:t>
      </w:r>
      <w:r w:rsidR="00E75BEB">
        <w:rPr>
          <w:rFonts w:ascii="Calibri" w:eastAsia="Calibri" w:hAnsi="Calibri" w:cs="Calibri"/>
        </w:rPr>
        <w:t>produc</w:t>
      </w:r>
      <w:r w:rsidR="000D7E3F">
        <w:rPr>
          <w:rFonts w:ascii="Calibri" w:eastAsia="Calibri" w:hAnsi="Calibri" w:cs="Calibri"/>
        </w:rPr>
        <w:t>ed</w:t>
      </w:r>
      <w:r w:rsidR="00E75BEB">
        <w:rPr>
          <w:rFonts w:ascii="Calibri" w:eastAsia="Calibri" w:hAnsi="Calibri" w:cs="Calibri"/>
        </w:rPr>
        <w:t xml:space="preserve"> </w:t>
      </w:r>
      <w:r>
        <w:rPr>
          <w:rFonts w:ascii="Calibri" w:eastAsia="Calibri" w:hAnsi="Calibri" w:cs="Calibri"/>
        </w:rPr>
        <w:t>polic</w:t>
      </w:r>
      <w:r w:rsidR="0046277A">
        <w:rPr>
          <w:rFonts w:ascii="Calibri" w:eastAsia="Calibri" w:hAnsi="Calibri" w:cs="Calibri"/>
        </w:rPr>
        <w:t>ies</w:t>
      </w:r>
      <w:r>
        <w:rPr>
          <w:rFonts w:ascii="Calibri" w:eastAsia="Calibri" w:hAnsi="Calibri" w:cs="Calibri"/>
        </w:rPr>
        <w:t xml:space="preserve"> and procedures </w:t>
      </w:r>
      <w:r w:rsidR="0082495E">
        <w:rPr>
          <w:rFonts w:ascii="Calibri" w:eastAsia="Calibri" w:hAnsi="Calibri" w:cs="Calibri"/>
        </w:rPr>
        <w:t>throughout</w:t>
      </w:r>
      <w:r>
        <w:rPr>
          <w:rFonts w:ascii="Calibri" w:eastAsia="Calibri" w:hAnsi="Calibri" w:cs="Calibri"/>
        </w:rPr>
        <w:t xml:space="preserve"> federal, state</w:t>
      </w:r>
      <w:r w:rsidR="00E75BEB">
        <w:rPr>
          <w:rFonts w:ascii="Calibri" w:eastAsia="Calibri" w:hAnsi="Calibri" w:cs="Calibri"/>
        </w:rPr>
        <w:t>,</w:t>
      </w:r>
      <w:r>
        <w:rPr>
          <w:rFonts w:ascii="Calibri" w:eastAsia="Calibri" w:hAnsi="Calibri" w:cs="Calibri"/>
        </w:rPr>
        <w:t xml:space="preserve"> and local government agencies.</w:t>
      </w:r>
      <w:r w:rsidR="00E24C3C" w:rsidRPr="00E24C3C">
        <w:t xml:space="preserve"> </w:t>
      </w:r>
    </w:p>
    <w:p w14:paraId="29048C29" w14:textId="783A0438" w:rsidR="00224426" w:rsidRDefault="00E24C3C">
      <w:pPr>
        <w:tabs>
          <w:tab w:val="left" w:pos="720"/>
        </w:tabs>
        <w:rPr>
          <w:rFonts w:ascii="Calibri" w:eastAsia="Calibri" w:hAnsi="Calibri" w:cs="Calibri"/>
        </w:rPr>
      </w:pPr>
      <w:r w:rsidRPr="00E24C3C">
        <w:rPr>
          <w:rFonts w:ascii="Calibri" w:eastAsia="Calibri" w:hAnsi="Calibri" w:cs="Calibri"/>
        </w:rPr>
        <w:t xml:space="preserve">HIPAA </w:t>
      </w:r>
      <w:r>
        <w:rPr>
          <w:rFonts w:ascii="Calibri" w:eastAsia="Calibri" w:hAnsi="Calibri" w:cs="Calibri"/>
        </w:rPr>
        <w:t xml:space="preserve">resulted in </w:t>
      </w:r>
      <w:r w:rsidR="00224426">
        <w:rPr>
          <w:rFonts w:ascii="Calibri" w:eastAsia="Calibri" w:hAnsi="Calibri" w:cs="Calibri"/>
        </w:rPr>
        <w:t xml:space="preserve">established </w:t>
      </w:r>
      <w:r w:rsidRPr="00E24C3C">
        <w:rPr>
          <w:rFonts w:ascii="Calibri" w:eastAsia="Calibri" w:hAnsi="Calibri" w:cs="Calibri"/>
        </w:rPr>
        <w:t xml:space="preserve">regulations to protect </w:t>
      </w:r>
      <w:r>
        <w:rPr>
          <w:rFonts w:ascii="Calibri" w:eastAsia="Calibri" w:hAnsi="Calibri" w:cs="Calibri"/>
        </w:rPr>
        <w:t xml:space="preserve">both </w:t>
      </w:r>
      <w:r w:rsidRPr="00E24C3C">
        <w:rPr>
          <w:rFonts w:ascii="Calibri" w:eastAsia="Calibri" w:hAnsi="Calibri" w:cs="Calibri"/>
        </w:rPr>
        <w:t>the privacy and security of certain health information</w:t>
      </w:r>
      <w:r w:rsidR="00224426">
        <w:rPr>
          <w:rFonts w:ascii="Calibri" w:eastAsia="Calibri" w:hAnsi="Calibri" w:cs="Calibri"/>
        </w:rPr>
        <w:t xml:space="preserve"> through two key rules</w:t>
      </w:r>
      <w:r w:rsidR="00C02A5C">
        <w:rPr>
          <w:rFonts w:ascii="Calibri" w:eastAsia="Calibri" w:hAnsi="Calibri" w:cs="Calibri"/>
        </w:rPr>
        <w:t>:</w:t>
      </w:r>
      <w:r w:rsidR="00224426">
        <w:rPr>
          <w:rFonts w:ascii="Calibri" w:eastAsia="Calibri" w:hAnsi="Calibri" w:cs="Calibri"/>
        </w:rPr>
        <w:t xml:space="preserve"> </w:t>
      </w:r>
    </w:p>
    <w:p w14:paraId="2E81C0A9" w14:textId="64C0C211" w:rsidR="00224426" w:rsidRPr="00224426" w:rsidRDefault="00224426" w:rsidP="00224426">
      <w:pPr>
        <w:pStyle w:val="ListParagraph"/>
        <w:numPr>
          <w:ilvl w:val="0"/>
          <w:numId w:val="7"/>
        </w:numPr>
        <w:tabs>
          <w:tab w:val="left" w:pos="720"/>
        </w:tabs>
        <w:rPr>
          <w:rFonts w:eastAsia="Calibri" w:cs="Calibri"/>
        </w:rPr>
      </w:pPr>
      <w:r>
        <w:rPr>
          <w:rFonts w:eastAsia="Calibri" w:cs="Calibri"/>
        </w:rPr>
        <w:t xml:space="preserve">HIPAA </w:t>
      </w:r>
      <w:r w:rsidRPr="00224426">
        <w:rPr>
          <w:rFonts w:eastAsia="Calibri" w:cs="Calibri"/>
        </w:rPr>
        <w:t>Privacy Rule</w:t>
      </w:r>
      <w:r>
        <w:rPr>
          <w:rFonts w:eastAsia="Calibri" w:cs="Calibri"/>
        </w:rPr>
        <w:t xml:space="preserve">: </w:t>
      </w:r>
      <w:r w:rsidRPr="00224426">
        <w:rPr>
          <w:rFonts w:eastAsia="Calibri" w:cs="Calibri"/>
        </w:rPr>
        <w:t xml:space="preserve">national standards for the protection of certain health information </w:t>
      </w:r>
    </w:p>
    <w:p w14:paraId="42C8DCF9" w14:textId="1C6D21D6" w:rsidR="00E24C3C" w:rsidRPr="00224426" w:rsidRDefault="00224426" w:rsidP="00224426">
      <w:pPr>
        <w:pStyle w:val="ListParagraph"/>
        <w:numPr>
          <w:ilvl w:val="0"/>
          <w:numId w:val="7"/>
        </w:numPr>
        <w:tabs>
          <w:tab w:val="left" w:pos="720"/>
        </w:tabs>
        <w:rPr>
          <w:rFonts w:eastAsia="Calibri" w:cs="Calibri"/>
        </w:rPr>
      </w:pPr>
      <w:r>
        <w:rPr>
          <w:rFonts w:eastAsia="Calibri" w:cs="Calibri"/>
        </w:rPr>
        <w:t xml:space="preserve">HIPAA </w:t>
      </w:r>
      <w:r w:rsidRPr="00224426">
        <w:rPr>
          <w:rFonts w:eastAsia="Calibri" w:cs="Calibri"/>
        </w:rPr>
        <w:t>Security Rule</w:t>
      </w:r>
      <w:r>
        <w:rPr>
          <w:rFonts w:eastAsia="Calibri" w:cs="Calibri"/>
        </w:rPr>
        <w:t xml:space="preserve">: </w:t>
      </w:r>
      <w:r w:rsidRPr="00224426">
        <w:rPr>
          <w:rFonts w:cs="Helvetica"/>
          <w:color w:val="000000"/>
          <w:shd w:val="clear" w:color="auto" w:fill="FFFFFF"/>
        </w:rPr>
        <w:t xml:space="preserve">national set of security standards for protecting certain health information that is </w:t>
      </w:r>
      <w:r>
        <w:rPr>
          <w:rFonts w:cs="Helvetica"/>
          <w:color w:val="000000"/>
          <w:shd w:val="clear" w:color="auto" w:fill="FFFFFF"/>
        </w:rPr>
        <w:t xml:space="preserve">either </w:t>
      </w:r>
      <w:r w:rsidRPr="00224426">
        <w:rPr>
          <w:rFonts w:cs="Helvetica"/>
          <w:color w:val="000000"/>
          <w:shd w:val="clear" w:color="auto" w:fill="FFFFFF"/>
        </w:rPr>
        <w:t xml:space="preserve">held </w:t>
      </w:r>
      <w:r w:rsidR="00F268CD">
        <w:rPr>
          <w:rFonts w:cs="Helvetica"/>
          <w:color w:val="000000"/>
          <w:shd w:val="clear" w:color="auto" w:fill="FFFFFF"/>
        </w:rPr>
        <w:t xml:space="preserve">locally </w:t>
      </w:r>
      <w:r w:rsidRPr="00224426">
        <w:rPr>
          <w:rFonts w:cs="Helvetica"/>
          <w:color w:val="000000"/>
          <w:shd w:val="clear" w:color="auto" w:fill="FFFFFF"/>
        </w:rPr>
        <w:t>or transferred in electronic form</w:t>
      </w:r>
    </w:p>
    <w:p w14:paraId="07E9350A" w14:textId="0CA5AB19" w:rsidR="00B70CEC" w:rsidRPr="00B70CEC" w:rsidRDefault="00B70CEC" w:rsidP="00B70CEC">
      <w:pPr>
        <w:pStyle w:val="Heading1"/>
        <w:rPr>
          <w:rFonts w:eastAsia="Calibri"/>
          <w:shd w:val="clear" w:color="auto" w:fill="FFFFFF"/>
        </w:rPr>
      </w:pPr>
      <w:bookmarkStart w:id="5" w:name="_Toc9404316"/>
      <w:r w:rsidRPr="00B70CEC">
        <w:rPr>
          <w:rFonts w:eastAsia="Calibri"/>
          <w:shd w:val="clear" w:color="auto" w:fill="FFFFFF"/>
        </w:rPr>
        <w:t xml:space="preserve">Privacy </w:t>
      </w:r>
      <w:r w:rsidR="00F268CD">
        <w:rPr>
          <w:rFonts w:eastAsia="Calibri"/>
          <w:shd w:val="clear" w:color="auto" w:fill="FFFFFF"/>
        </w:rPr>
        <w:t xml:space="preserve">Rule </w:t>
      </w:r>
      <w:r w:rsidR="000D7E3F">
        <w:rPr>
          <w:rFonts w:eastAsia="Calibri"/>
          <w:shd w:val="clear" w:color="auto" w:fill="FFFFFF"/>
        </w:rPr>
        <w:t>R</w:t>
      </w:r>
      <w:r w:rsidRPr="00B70CEC">
        <w:rPr>
          <w:rFonts w:eastAsia="Calibri"/>
          <w:shd w:val="clear" w:color="auto" w:fill="FFFFFF"/>
        </w:rPr>
        <w:t>equirements of HIPAA</w:t>
      </w:r>
      <w:bookmarkEnd w:id="5"/>
    </w:p>
    <w:p w14:paraId="2DC81197" w14:textId="12D07A69" w:rsidR="006264A0" w:rsidRPr="003E1C82" w:rsidRDefault="0022423A" w:rsidP="00F86263">
      <w:pPr>
        <w:tabs>
          <w:tab w:val="left" w:pos="720"/>
        </w:tabs>
        <w:rPr>
          <w:rFonts w:ascii="Calibri" w:eastAsia="Calibri" w:hAnsi="Calibri" w:cs="Calibri"/>
          <w:shd w:val="clear" w:color="auto" w:fill="FFFFFF"/>
        </w:rPr>
      </w:pPr>
      <w:r>
        <w:rPr>
          <w:rFonts w:ascii="Calibri" w:eastAsia="Calibri" w:hAnsi="Calibri" w:cs="Calibri"/>
          <w:shd w:val="clear" w:color="auto" w:fill="FFFFFF"/>
        </w:rPr>
        <w:t xml:space="preserve">The </w:t>
      </w:r>
      <w:r w:rsidR="000D7E3F">
        <w:rPr>
          <w:rFonts w:ascii="Calibri" w:eastAsia="Calibri" w:hAnsi="Calibri" w:cs="Calibri"/>
          <w:shd w:val="clear" w:color="auto" w:fill="FFFFFF"/>
        </w:rPr>
        <w:t xml:space="preserve">HIPAA </w:t>
      </w:r>
      <w:r w:rsidR="00591101">
        <w:rPr>
          <w:rFonts w:ascii="Calibri" w:eastAsia="Calibri" w:hAnsi="Calibri" w:cs="Calibri"/>
          <w:shd w:val="clear" w:color="auto" w:fill="FFFFFF"/>
        </w:rPr>
        <w:t xml:space="preserve">Privacy Rule </w:t>
      </w:r>
      <w:r w:rsidR="000D7E3F">
        <w:rPr>
          <w:rFonts w:ascii="Calibri" w:eastAsia="Calibri" w:hAnsi="Calibri" w:cs="Calibri"/>
          <w:shd w:val="clear" w:color="auto" w:fill="FFFFFF"/>
        </w:rPr>
        <w:t>defines</w:t>
      </w:r>
      <w:r w:rsidR="00591101">
        <w:rPr>
          <w:rFonts w:ascii="Calibri" w:eastAsia="Calibri" w:hAnsi="Calibri" w:cs="Calibri"/>
          <w:shd w:val="clear" w:color="auto" w:fill="FFFFFF"/>
        </w:rPr>
        <w:t xml:space="preserve"> </w:t>
      </w:r>
      <w:r w:rsidR="002A6604">
        <w:rPr>
          <w:rFonts w:ascii="Calibri" w:eastAsia="Calibri" w:hAnsi="Calibri" w:cs="Calibri"/>
          <w:shd w:val="clear" w:color="auto" w:fill="FFFFFF"/>
        </w:rPr>
        <w:t xml:space="preserve">protected health </w:t>
      </w:r>
      <w:r w:rsidR="00591101">
        <w:rPr>
          <w:rFonts w:ascii="Calibri" w:eastAsia="Calibri" w:hAnsi="Calibri" w:cs="Calibri"/>
          <w:shd w:val="clear" w:color="auto" w:fill="FFFFFF"/>
        </w:rPr>
        <w:t xml:space="preserve">information </w:t>
      </w:r>
      <w:r w:rsidR="002A6604">
        <w:rPr>
          <w:rFonts w:ascii="Calibri" w:eastAsia="Calibri" w:hAnsi="Calibri" w:cs="Calibri"/>
          <w:shd w:val="clear" w:color="auto" w:fill="FFFFFF"/>
        </w:rPr>
        <w:t>(</w:t>
      </w:r>
      <w:r w:rsidR="00591101">
        <w:rPr>
          <w:rFonts w:ascii="Calibri" w:eastAsia="Calibri" w:hAnsi="Calibri" w:cs="Calibri"/>
          <w:shd w:val="clear" w:color="auto" w:fill="FFFFFF"/>
        </w:rPr>
        <w:t>PH</w:t>
      </w:r>
      <w:r w:rsidR="00A32740">
        <w:rPr>
          <w:rFonts w:ascii="Calibri" w:eastAsia="Calibri" w:hAnsi="Calibri" w:cs="Calibri"/>
          <w:shd w:val="clear" w:color="auto" w:fill="FFFFFF"/>
        </w:rPr>
        <w:t>I</w:t>
      </w:r>
      <w:r w:rsidR="002A6604">
        <w:rPr>
          <w:rFonts w:ascii="Calibri" w:eastAsia="Calibri" w:hAnsi="Calibri" w:cs="Calibri"/>
          <w:shd w:val="clear" w:color="auto" w:fill="FFFFFF"/>
        </w:rPr>
        <w:t>)</w:t>
      </w:r>
      <w:r w:rsidR="00A32740">
        <w:rPr>
          <w:rFonts w:ascii="Calibri" w:eastAsia="Calibri" w:hAnsi="Calibri" w:cs="Calibri"/>
          <w:shd w:val="clear" w:color="auto" w:fill="FFFFFF"/>
        </w:rPr>
        <w:t xml:space="preserve">. </w:t>
      </w:r>
      <w:r w:rsidR="00591101">
        <w:rPr>
          <w:rFonts w:ascii="Calibri" w:eastAsia="Calibri" w:hAnsi="Calibri" w:cs="Calibri"/>
          <w:shd w:val="clear" w:color="auto" w:fill="FFFFFF"/>
        </w:rPr>
        <w:t>PHI includ</w:t>
      </w:r>
      <w:r w:rsidR="002A6604">
        <w:rPr>
          <w:rFonts w:ascii="Calibri" w:eastAsia="Calibri" w:hAnsi="Calibri" w:cs="Calibri"/>
          <w:shd w:val="clear" w:color="auto" w:fill="FFFFFF"/>
        </w:rPr>
        <w:t>es</w:t>
      </w:r>
      <w:r w:rsidR="00591101">
        <w:rPr>
          <w:rFonts w:ascii="Calibri" w:eastAsia="Calibri" w:hAnsi="Calibri" w:cs="Calibri"/>
          <w:shd w:val="clear" w:color="auto" w:fill="FFFFFF"/>
        </w:rPr>
        <w:t xml:space="preserve"> demographic information, which relates to</w:t>
      </w:r>
      <w:r w:rsidR="002A6604">
        <w:rPr>
          <w:rFonts w:ascii="Calibri" w:eastAsia="Calibri" w:hAnsi="Calibri" w:cs="Calibri"/>
          <w:shd w:val="clear" w:color="auto" w:fill="FFFFFF"/>
        </w:rPr>
        <w:t xml:space="preserve"> </w:t>
      </w:r>
      <w:r w:rsidR="00591101">
        <w:rPr>
          <w:rFonts w:ascii="Calibri" w:eastAsia="Calibri" w:hAnsi="Calibri" w:cs="Calibri"/>
          <w:shd w:val="clear" w:color="auto" w:fill="FFFFFF"/>
        </w:rPr>
        <w:t>the individual’s past, present, or future physical or mental health or condition,</w:t>
      </w:r>
      <w:r w:rsidR="002A6604">
        <w:rPr>
          <w:rFonts w:ascii="Calibri" w:eastAsia="Calibri" w:hAnsi="Calibri" w:cs="Calibri"/>
          <w:shd w:val="clear" w:color="auto" w:fill="FFFFFF"/>
        </w:rPr>
        <w:t xml:space="preserve"> </w:t>
      </w:r>
      <w:r w:rsidR="00591101">
        <w:rPr>
          <w:rFonts w:ascii="Calibri" w:eastAsia="Calibri" w:hAnsi="Calibri" w:cs="Calibri"/>
          <w:shd w:val="clear" w:color="auto" w:fill="FFFFFF"/>
        </w:rPr>
        <w:t>the provision of health care to the individual, or</w:t>
      </w:r>
      <w:r w:rsidR="002A6604">
        <w:rPr>
          <w:rFonts w:ascii="Calibri" w:eastAsia="Calibri" w:hAnsi="Calibri" w:cs="Calibri"/>
          <w:shd w:val="clear" w:color="auto" w:fill="FFFFFF"/>
        </w:rPr>
        <w:t xml:space="preserve"> </w:t>
      </w:r>
      <w:r w:rsidR="00591101">
        <w:rPr>
          <w:rFonts w:ascii="Calibri" w:eastAsia="Calibri" w:hAnsi="Calibri" w:cs="Calibri"/>
          <w:shd w:val="clear" w:color="auto" w:fill="FFFFFF"/>
        </w:rPr>
        <w:t xml:space="preserve">the past, present, or future payment for the provision of health care to the individual, and that identifies the individual or for which there is a reasonable basis to believe can be used to identify the individual. </w:t>
      </w:r>
      <w:r w:rsidR="00DD4C10">
        <w:rPr>
          <w:rFonts w:ascii="Calibri" w:eastAsia="Calibri" w:hAnsi="Calibri" w:cs="Calibri"/>
          <w:shd w:val="clear" w:color="auto" w:fill="FFFFFF"/>
        </w:rPr>
        <w:t xml:space="preserve">Beyond </w:t>
      </w:r>
      <w:r w:rsidR="00591101">
        <w:rPr>
          <w:rFonts w:ascii="Calibri" w:eastAsia="Calibri" w:hAnsi="Calibri" w:cs="Calibri"/>
          <w:shd w:val="clear" w:color="auto" w:fill="FFFFFF"/>
        </w:rPr>
        <w:t xml:space="preserve">health </w:t>
      </w:r>
      <w:r w:rsidR="00DD4C10">
        <w:rPr>
          <w:rFonts w:ascii="Calibri" w:eastAsia="Calibri" w:hAnsi="Calibri" w:cs="Calibri"/>
          <w:shd w:val="clear" w:color="auto" w:fill="FFFFFF"/>
        </w:rPr>
        <w:t xml:space="preserve">conditions, PHI </w:t>
      </w:r>
      <w:r w:rsidR="00591101">
        <w:rPr>
          <w:rFonts w:ascii="Calibri" w:eastAsia="Calibri" w:hAnsi="Calibri" w:cs="Calibri"/>
          <w:shd w:val="clear" w:color="auto" w:fill="FFFFFF"/>
        </w:rPr>
        <w:t>includes many common identifiers when they can be associated with the individual’s health information</w:t>
      </w:r>
      <w:r w:rsidR="007477FF">
        <w:rPr>
          <w:rFonts w:ascii="Calibri" w:eastAsia="Calibri" w:hAnsi="Calibri" w:cs="Calibri"/>
          <w:shd w:val="clear" w:color="auto" w:fill="FFFFFF"/>
        </w:rPr>
        <w:t>, such as</w:t>
      </w:r>
      <w:r w:rsidR="00DD4C10">
        <w:rPr>
          <w:rFonts w:ascii="Calibri" w:eastAsia="Calibri" w:hAnsi="Calibri" w:cs="Calibri"/>
          <w:shd w:val="clear" w:color="auto" w:fill="FFFFFF"/>
        </w:rPr>
        <w:t>:</w:t>
      </w:r>
    </w:p>
    <w:p w14:paraId="4F62EB8A" w14:textId="77777777" w:rsidR="008139CF" w:rsidRDefault="008139CF" w:rsidP="008139CF">
      <w:pPr>
        <w:pStyle w:val="ListParagraph"/>
        <w:numPr>
          <w:ilvl w:val="0"/>
          <w:numId w:val="32"/>
        </w:numPr>
        <w:tabs>
          <w:tab w:val="left" w:pos="720"/>
        </w:tabs>
        <w:rPr>
          <w:rFonts w:ascii="Calibri" w:eastAsia="Calibri" w:hAnsi="Calibri" w:cs="Calibri"/>
        </w:rPr>
        <w:sectPr w:rsidR="008139CF">
          <w:pgSz w:w="12240" w:h="15840"/>
          <w:pgMar w:top="1440" w:right="1440" w:bottom="1440" w:left="1440" w:header="720" w:footer="720" w:gutter="0"/>
          <w:cols w:space="720"/>
          <w:docGrid w:linePitch="360"/>
        </w:sectPr>
      </w:pPr>
    </w:p>
    <w:p w14:paraId="163D7057" w14:textId="721CA13F"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Name</w:t>
      </w:r>
    </w:p>
    <w:p w14:paraId="7C1C74FA" w14:textId="4848E834"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Birth Date</w:t>
      </w:r>
    </w:p>
    <w:p w14:paraId="3000E84F" w14:textId="6C6C85DE"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Fax Number</w:t>
      </w:r>
    </w:p>
    <w:p w14:paraId="1A588106" w14:textId="0023A894"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Account Number</w:t>
      </w:r>
    </w:p>
    <w:p w14:paraId="7306ECC3" w14:textId="3ED715A2"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Web URL</w:t>
      </w:r>
    </w:p>
    <w:p w14:paraId="5C65B09B" w14:textId="2448E628"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Street Address</w:t>
      </w:r>
    </w:p>
    <w:p w14:paraId="1BB2499A" w14:textId="5F067035"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Admission Date Electronic Mail Address Certification/License Number</w:t>
      </w:r>
    </w:p>
    <w:p w14:paraId="150B81FD" w14:textId="17CA30A9"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License Plate Number</w:t>
      </w:r>
    </w:p>
    <w:p w14:paraId="42B97299" w14:textId="2227DFCA"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City</w:t>
      </w:r>
    </w:p>
    <w:p w14:paraId="6EC10B4B" w14:textId="060AC85C"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Discharge Date</w:t>
      </w:r>
    </w:p>
    <w:p w14:paraId="66B53694" w14:textId="51E1BFCD" w:rsidR="008139CF" w:rsidRDefault="008139CF" w:rsidP="003E1C82">
      <w:pPr>
        <w:pStyle w:val="ListParagraph"/>
        <w:numPr>
          <w:ilvl w:val="0"/>
          <w:numId w:val="32"/>
        </w:numPr>
        <w:tabs>
          <w:tab w:val="left" w:pos="720"/>
        </w:tabs>
        <w:rPr>
          <w:rFonts w:ascii="Calibri" w:eastAsia="Calibri" w:hAnsi="Calibri" w:cs="Calibri"/>
        </w:rPr>
      </w:pPr>
      <w:r>
        <w:rPr>
          <w:rFonts w:ascii="Calibri" w:eastAsia="Calibri" w:hAnsi="Calibri" w:cs="Calibri"/>
        </w:rPr>
        <w:t>Social Security Number</w:t>
      </w:r>
    </w:p>
    <w:p w14:paraId="5C87FC81" w14:textId="283ECA3B"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Vehicle Type and/or Serial Number</w:t>
      </w:r>
    </w:p>
    <w:p w14:paraId="0BE0F707" w14:textId="1BA0C724"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Device Identifier and/or Serial Number</w:t>
      </w:r>
    </w:p>
    <w:p w14:paraId="02046701" w14:textId="3CE74215"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Precinct</w:t>
      </w:r>
    </w:p>
    <w:p w14:paraId="0EDEE82A" w14:textId="538FDE91"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Date of Death</w:t>
      </w:r>
    </w:p>
    <w:p w14:paraId="515A41EF" w14:textId="27888DBD"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Medical Record Number</w:t>
      </w:r>
    </w:p>
    <w:p w14:paraId="3CB24608" w14:textId="570490BD"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IP Network Address</w:t>
      </w:r>
    </w:p>
    <w:p w14:paraId="653181E4" w14:textId="0A43DD81"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Full Face Photographic Images</w:t>
      </w:r>
    </w:p>
    <w:p w14:paraId="55073B5A" w14:textId="7F3FAC69"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Zip Code</w:t>
      </w:r>
    </w:p>
    <w:p w14:paraId="48C63F64" w14:textId="1A683680"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Telephone Number</w:t>
      </w:r>
    </w:p>
    <w:p w14:paraId="2AFF84C6" w14:textId="4682D6C1" w:rsidR="00DD4C10"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Health Plan Beneficiary Number</w:t>
      </w:r>
    </w:p>
    <w:p w14:paraId="63C9304D" w14:textId="3AE97F69" w:rsidR="008139CF" w:rsidRDefault="00DD4C10" w:rsidP="003E1C82">
      <w:pPr>
        <w:pStyle w:val="ListParagraph"/>
        <w:numPr>
          <w:ilvl w:val="0"/>
          <w:numId w:val="32"/>
        </w:numPr>
        <w:tabs>
          <w:tab w:val="left" w:pos="720"/>
        </w:tabs>
        <w:rPr>
          <w:rFonts w:ascii="Calibri" w:eastAsia="Calibri" w:hAnsi="Calibri" w:cs="Calibri"/>
        </w:rPr>
      </w:pPr>
      <w:r>
        <w:rPr>
          <w:rFonts w:ascii="Calibri" w:eastAsia="Calibri" w:hAnsi="Calibri" w:cs="Calibri"/>
        </w:rPr>
        <w:t>Biometrics (e.g.</w:t>
      </w:r>
      <w:r w:rsidR="000D7E3F">
        <w:rPr>
          <w:rFonts w:ascii="Calibri" w:eastAsia="Calibri" w:hAnsi="Calibri" w:cs="Calibri"/>
        </w:rPr>
        <w:t>,</w:t>
      </w:r>
      <w:r>
        <w:rPr>
          <w:rFonts w:ascii="Calibri" w:eastAsia="Calibri" w:hAnsi="Calibri" w:cs="Calibri"/>
        </w:rPr>
        <w:t xml:space="preserve"> </w:t>
      </w:r>
      <w:r w:rsidR="000D7E3F">
        <w:rPr>
          <w:rFonts w:ascii="Calibri" w:eastAsia="Calibri" w:hAnsi="Calibri" w:cs="Calibri"/>
        </w:rPr>
        <w:t>Fi</w:t>
      </w:r>
      <w:r>
        <w:rPr>
          <w:rFonts w:ascii="Calibri" w:eastAsia="Calibri" w:hAnsi="Calibri" w:cs="Calibri"/>
        </w:rPr>
        <w:t xml:space="preserve">nger </w:t>
      </w:r>
      <w:r w:rsidR="000D7E3F">
        <w:rPr>
          <w:rFonts w:ascii="Calibri" w:eastAsia="Calibri" w:hAnsi="Calibri" w:cs="Calibri"/>
        </w:rPr>
        <w:t>P</w:t>
      </w:r>
      <w:r>
        <w:rPr>
          <w:rFonts w:ascii="Calibri" w:eastAsia="Calibri" w:hAnsi="Calibri" w:cs="Calibri"/>
        </w:rPr>
        <w:t>rints, etc.)</w:t>
      </w:r>
    </w:p>
    <w:p w14:paraId="251A4786" w14:textId="45F90D6F" w:rsidR="007B465C" w:rsidRPr="003E1C82" w:rsidRDefault="00DD4C10" w:rsidP="003E1C82">
      <w:pPr>
        <w:pStyle w:val="ListParagraph"/>
        <w:numPr>
          <w:ilvl w:val="0"/>
          <w:numId w:val="32"/>
        </w:numPr>
        <w:tabs>
          <w:tab w:val="left" w:pos="720"/>
        </w:tabs>
        <w:rPr>
          <w:rFonts w:ascii="Calibri" w:eastAsia="Calibri" w:hAnsi="Calibri" w:cs="Calibri"/>
        </w:rPr>
        <w:sectPr w:rsidR="007B465C" w:rsidRPr="003E1C82" w:rsidSect="003E1C82">
          <w:type w:val="continuous"/>
          <w:pgSz w:w="12240" w:h="15840"/>
          <w:pgMar w:top="1440" w:right="1440" w:bottom="1440" w:left="1440" w:header="720" w:footer="720" w:gutter="0"/>
          <w:cols w:num="2" w:space="720"/>
          <w:docGrid w:linePitch="360"/>
        </w:sectPr>
      </w:pPr>
      <w:r>
        <w:rPr>
          <w:rFonts w:ascii="Calibri" w:eastAsia="Calibri" w:hAnsi="Calibri" w:cs="Calibri"/>
        </w:rPr>
        <w:t xml:space="preserve">Any </w:t>
      </w:r>
      <w:r w:rsidR="000D7E3F">
        <w:rPr>
          <w:rFonts w:ascii="Calibri" w:eastAsia="Calibri" w:hAnsi="Calibri" w:cs="Calibri"/>
        </w:rPr>
        <w:t>O</w:t>
      </w:r>
      <w:r>
        <w:rPr>
          <w:rFonts w:ascii="Calibri" w:eastAsia="Calibri" w:hAnsi="Calibri" w:cs="Calibri"/>
        </w:rPr>
        <w:t xml:space="preserve">ther </w:t>
      </w:r>
      <w:r w:rsidR="000D7E3F">
        <w:rPr>
          <w:rFonts w:ascii="Calibri" w:eastAsia="Calibri" w:hAnsi="Calibri" w:cs="Calibri"/>
        </w:rPr>
        <w:t>I</w:t>
      </w:r>
      <w:r>
        <w:rPr>
          <w:rFonts w:ascii="Calibri" w:eastAsia="Calibri" w:hAnsi="Calibri" w:cs="Calibri"/>
        </w:rPr>
        <w:t xml:space="preserve">dentifying </w:t>
      </w:r>
      <w:r w:rsidR="000D7E3F">
        <w:rPr>
          <w:rFonts w:ascii="Calibri" w:eastAsia="Calibri" w:hAnsi="Calibri" w:cs="Calibri"/>
        </w:rPr>
        <w:t>I</w:t>
      </w:r>
      <w:r>
        <w:rPr>
          <w:rFonts w:ascii="Calibri" w:eastAsia="Calibri" w:hAnsi="Calibri" w:cs="Calibri"/>
        </w:rPr>
        <w:t>nformation</w:t>
      </w:r>
    </w:p>
    <w:p w14:paraId="6F579303" w14:textId="682A82DF" w:rsidR="007F0417" w:rsidRDefault="00591101">
      <w:pPr>
        <w:tabs>
          <w:tab w:val="left" w:pos="720"/>
        </w:tabs>
        <w:rPr>
          <w:rFonts w:ascii="Calibri" w:eastAsia="Calibri" w:hAnsi="Calibri" w:cs="Calibri"/>
        </w:rPr>
      </w:pPr>
      <w:r>
        <w:rPr>
          <w:rFonts w:ascii="Calibri" w:eastAsia="Calibri" w:hAnsi="Calibri" w:cs="Calibri"/>
        </w:rPr>
        <w:t xml:space="preserve">The Privacy Rule assigns individuals with specific rights to their PHI. Furthermore, The Privacy Rule requires all healthcare organizations and partners to protect individuals’ health records and other </w:t>
      </w:r>
      <w:r>
        <w:rPr>
          <w:rFonts w:ascii="Calibri" w:eastAsia="Calibri" w:hAnsi="Calibri" w:cs="Calibri"/>
        </w:rPr>
        <w:lastRenderedPageBreak/>
        <w:t>identifiable health information by establishing privacy protection safeguards as well as conditions and limits on the appropriate usage and disclosures of PHI. The Privacy Rule provides</w:t>
      </w:r>
      <w:r w:rsidR="0046277A">
        <w:rPr>
          <w:rFonts w:ascii="Calibri" w:eastAsia="Calibri" w:hAnsi="Calibri" w:cs="Calibri"/>
        </w:rPr>
        <w:t xml:space="preserve"> health information exchanges</w:t>
      </w:r>
      <w:r>
        <w:rPr>
          <w:rFonts w:ascii="Calibri" w:eastAsia="Calibri" w:hAnsi="Calibri" w:cs="Calibri"/>
        </w:rPr>
        <w:t xml:space="preserve"> </w:t>
      </w:r>
      <w:r w:rsidR="0046277A">
        <w:rPr>
          <w:rFonts w:ascii="Calibri" w:eastAsia="Calibri" w:hAnsi="Calibri" w:cs="Calibri"/>
        </w:rPr>
        <w:t>(</w:t>
      </w:r>
      <w:r>
        <w:rPr>
          <w:rFonts w:ascii="Calibri" w:eastAsia="Calibri" w:hAnsi="Calibri" w:cs="Calibri"/>
        </w:rPr>
        <w:t>HIEs</w:t>
      </w:r>
      <w:r w:rsidR="0046277A">
        <w:rPr>
          <w:rFonts w:ascii="Calibri" w:eastAsia="Calibri" w:hAnsi="Calibri" w:cs="Calibri"/>
        </w:rPr>
        <w:t>)</w:t>
      </w:r>
      <w:r>
        <w:rPr>
          <w:rFonts w:ascii="Calibri" w:eastAsia="Calibri" w:hAnsi="Calibri" w:cs="Calibri"/>
        </w:rPr>
        <w:t xml:space="preserve"> the foundation for balancing the privacy of individuals’ PHI and assuring that their PHI is accessible to healthcare parties for providing </w:t>
      </w:r>
      <w:r w:rsidR="00243CDF">
        <w:rPr>
          <w:rFonts w:ascii="Calibri" w:eastAsia="Calibri" w:hAnsi="Calibri" w:cs="Calibri"/>
        </w:rPr>
        <w:t>care</w:t>
      </w:r>
      <w:r>
        <w:rPr>
          <w:rFonts w:ascii="Calibri" w:eastAsia="Calibri" w:hAnsi="Calibri" w:cs="Calibri"/>
        </w:rPr>
        <w:t>, payment, etc.</w:t>
      </w:r>
      <w:r w:rsidR="007F0417">
        <w:rPr>
          <w:rFonts w:ascii="Calibri" w:eastAsia="Calibri" w:hAnsi="Calibri" w:cs="Calibri"/>
        </w:rPr>
        <w:t xml:space="preserve"> T</w:t>
      </w:r>
      <w:r w:rsidR="007F0417" w:rsidRPr="007F0417">
        <w:rPr>
          <w:rFonts w:cs="Helvetica"/>
          <w:color w:val="000000"/>
          <w:shd w:val="clear" w:color="auto" w:fill="FFFFFF"/>
        </w:rPr>
        <w:t xml:space="preserve">he Privacy Rule </w:t>
      </w:r>
      <w:r w:rsidR="007F0417">
        <w:rPr>
          <w:rFonts w:cs="Helvetica"/>
          <w:color w:val="000000"/>
          <w:shd w:val="clear" w:color="auto" w:fill="FFFFFF"/>
        </w:rPr>
        <w:t xml:space="preserve">warrants </w:t>
      </w:r>
      <w:r w:rsidR="007F0417" w:rsidRPr="007F0417">
        <w:rPr>
          <w:rFonts w:cs="Helvetica"/>
          <w:color w:val="000000"/>
          <w:shd w:val="clear" w:color="auto" w:fill="FFFFFF"/>
        </w:rPr>
        <w:t xml:space="preserve">that </w:t>
      </w:r>
      <w:r w:rsidR="007F0417">
        <w:rPr>
          <w:rFonts w:cs="Helvetica"/>
          <w:color w:val="000000"/>
          <w:shd w:val="clear" w:color="auto" w:fill="FFFFFF"/>
        </w:rPr>
        <w:t xml:space="preserve">everyone’s </w:t>
      </w:r>
      <w:r w:rsidR="007F0417" w:rsidRPr="007F0417">
        <w:rPr>
          <w:rFonts w:cs="Helvetica"/>
          <w:color w:val="000000"/>
          <w:shd w:val="clear" w:color="auto" w:fill="FFFFFF"/>
        </w:rPr>
        <w:t>health information is protected</w:t>
      </w:r>
      <w:r w:rsidR="007F0417">
        <w:rPr>
          <w:rFonts w:cs="Helvetica"/>
          <w:color w:val="000000"/>
          <w:shd w:val="clear" w:color="auto" w:fill="FFFFFF"/>
        </w:rPr>
        <w:t>, especially</w:t>
      </w:r>
      <w:r w:rsidR="007F0417" w:rsidRPr="007F0417">
        <w:rPr>
          <w:rFonts w:cs="Helvetica"/>
          <w:color w:val="000000"/>
          <w:shd w:val="clear" w:color="auto" w:fill="FFFFFF"/>
        </w:rPr>
        <w:t xml:space="preserve"> </w:t>
      </w:r>
      <w:r w:rsidR="007F0417">
        <w:rPr>
          <w:rFonts w:cs="Helvetica"/>
          <w:color w:val="000000"/>
          <w:shd w:val="clear" w:color="auto" w:fill="FFFFFF"/>
        </w:rPr>
        <w:t xml:space="preserve">during </w:t>
      </w:r>
      <w:r w:rsidR="007F0417" w:rsidRPr="007F0417">
        <w:rPr>
          <w:rFonts w:cs="Helvetica"/>
          <w:color w:val="000000"/>
          <w:shd w:val="clear" w:color="auto" w:fill="FFFFFF"/>
        </w:rPr>
        <w:t xml:space="preserve">the </w:t>
      </w:r>
      <w:r w:rsidR="007F0417">
        <w:rPr>
          <w:rFonts w:cs="Helvetica"/>
          <w:color w:val="000000"/>
          <w:shd w:val="clear" w:color="auto" w:fill="FFFFFF"/>
        </w:rPr>
        <w:t xml:space="preserve">ongoing </w:t>
      </w:r>
      <w:r w:rsidR="007F0417" w:rsidRPr="007F0417">
        <w:rPr>
          <w:rFonts w:cs="Helvetica"/>
          <w:color w:val="000000"/>
          <w:shd w:val="clear" w:color="auto" w:fill="FFFFFF"/>
        </w:rPr>
        <w:t>flow of health information needed to provide quality health care and to protect public health.</w:t>
      </w:r>
    </w:p>
    <w:p w14:paraId="0DAFCD09" w14:textId="454DD279" w:rsidR="007F0417" w:rsidRDefault="0017764D">
      <w:pPr>
        <w:tabs>
          <w:tab w:val="left" w:pos="720"/>
        </w:tabs>
        <w:rPr>
          <w:rFonts w:ascii="Calibri" w:eastAsia="Calibri" w:hAnsi="Calibri" w:cs="Calibri"/>
        </w:rPr>
      </w:pPr>
      <w:r>
        <w:rPr>
          <w:rFonts w:ascii="Calibri" w:eastAsia="Calibri" w:hAnsi="Calibri" w:cs="Calibri"/>
        </w:rPr>
        <w:t xml:space="preserve">The </w:t>
      </w:r>
      <w:r w:rsidR="00D95E90">
        <w:rPr>
          <w:rFonts w:ascii="Calibri" w:eastAsia="Calibri" w:hAnsi="Calibri" w:cs="Calibri"/>
        </w:rPr>
        <w:t xml:space="preserve">advent </w:t>
      </w:r>
      <w:r>
        <w:rPr>
          <w:rFonts w:ascii="Calibri" w:eastAsia="Calibri" w:hAnsi="Calibri" w:cs="Calibri"/>
        </w:rPr>
        <w:t xml:space="preserve">of digital healthcare systems </w:t>
      </w:r>
      <w:r w:rsidR="006C7005">
        <w:rPr>
          <w:rFonts w:ascii="Calibri" w:eastAsia="Calibri" w:hAnsi="Calibri" w:cs="Calibri"/>
        </w:rPr>
        <w:t>{</w:t>
      </w:r>
      <w:r w:rsidR="000D7E3F">
        <w:rPr>
          <w:rFonts w:ascii="Calibri" w:eastAsia="Calibri" w:hAnsi="Calibri" w:cs="Calibri"/>
        </w:rPr>
        <w:t>c</w:t>
      </w:r>
      <w:r w:rsidR="009C299E" w:rsidRPr="009C299E">
        <w:rPr>
          <w:rFonts w:ascii="Calibri" w:eastAsia="Calibri" w:hAnsi="Calibri" w:cs="Calibri"/>
        </w:rPr>
        <w:t xml:space="preserve">omputerized </w:t>
      </w:r>
      <w:r w:rsidR="000D7E3F">
        <w:rPr>
          <w:rFonts w:ascii="Calibri" w:eastAsia="Calibri" w:hAnsi="Calibri" w:cs="Calibri"/>
        </w:rPr>
        <w:t>p</w:t>
      </w:r>
      <w:r w:rsidR="009C299E" w:rsidRPr="009C299E">
        <w:rPr>
          <w:rFonts w:ascii="Calibri" w:eastAsia="Calibri" w:hAnsi="Calibri" w:cs="Calibri"/>
        </w:rPr>
        <w:t xml:space="preserve">hysician </w:t>
      </w:r>
      <w:r w:rsidR="000D7E3F">
        <w:rPr>
          <w:rFonts w:ascii="Calibri" w:eastAsia="Calibri" w:hAnsi="Calibri" w:cs="Calibri"/>
        </w:rPr>
        <w:t>o</w:t>
      </w:r>
      <w:r w:rsidR="009C299E" w:rsidRPr="009C299E">
        <w:rPr>
          <w:rFonts w:ascii="Calibri" w:eastAsia="Calibri" w:hAnsi="Calibri" w:cs="Calibri"/>
        </w:rPr>
        <w:t xml:space="preserve">rder </w:t>
      </w:r>
      <w:r w:rsidR="000D7E3F">
        <w:rPr>
          <w:rFonts w:ascii="Calibri" w:eastAsia="Calibri" w:hAnsi="Calibri" w:cs="Calibri"/>
        </w:rPr>
        <w:t>e</w:t>
      </w:r>
      <w:r w:rsidR="009C299E" w:rsidRPr="009C299E">
        <w:rPr>
          <w:rFonts w:ascii="Calibri" w:eastAsia="Calibri" w:hAnsi="Calibri" w:cs="Calibri"/>
        </w:rPr>
        <w:t>ntry (CPOE)</w:t>
      </w:r>
      <w:r w:rsidRPr="009C299E">
        <w:rPr>
          <w:rFonts w:ascii="Calibri" w:eastAsia="Calibri" w:hAnsi="Calibri" w:cs="Calibri"/>
        </w:rPr>
        <w:t>,</w:t>
      </w:r>
      <w:r>
        <w:rPr>
          <w:rFonts w:ascii="Calibri" w:eastAsia="Calibri" w:hAnsi="Calibri" w:cs="Calibri"/>
        </w:rPr>
        <w:t xml:space="preserve"> </w:t>
      </w:r>
      <w:r w:rsidR="006C7005">
        <w:rPr>
          <w:rFonts w:ascii="Calibri" w:eastAsia="Calibri" w:hAnsi="Calibri" w:cs="Calibri"/>
        </w:rPr>
        <w:t>electronic health records (EHR)</w:t>
      </w:r>
      <w:r>
        <w:rPr>
          <w:rFonts w:ascii="Calibri" w:eastAsia="Calibri" w:hAnsi="Calibri" w:cs="Calibri"/>
        </w:rPr>
        <w:t>, etc.</w:t>
      </w:r>
      <w:r w:rsidR="006C7005">
        <w:rPr>
          <w:rFonts w:ascii="Calibri" w:eastAsia="Calibri" w:hAnsi="Calibri" w:cs="Calibri"/>
        </w:rPr>
        <w:t>},</w:t>
      </w:r>
      <w:r>
        <w:rPr>
          <w:rFonts w:ascii="Calibri" w:eastAsia="Calibri" w:hAnsi="Calibri" w:cs="Calibri"/>
        </w:rPr>
        <w:t xml:space="preserve"> has </w:t>
      </w:r>
      <w:r w:rsidR="00D95E90">
        <w:rPr>
          <w:rFonts w:ascii="Calibri" w:eastAsia="Calibri" w:hAnsi="Calibri" w:cs="Calibri"/>
        </w:rPr>
        <w:t>a</w:t>
      </w:r>
      <w:r>
        <w:rPr>
          <w:rFonts w:ascii="Calibri" w:eastAsia="Calibri" w:hAnsi="Calibri" w:cs="Calibri"/>
        </w:rPr>
        <w:t xml:space="preserve">dvanced healthcare delivery in so many ways: digital speed, interconnectivity, </w:t>
      </w:r>
      <w:r w:rsidR="00D95E90">
        <w:rPr>
          <w:rFonts w:ascii="Calibri" w:eastAsia="Calibri" w:hAnsi="Calibri" w:cs="Calibri"/>
        </w:rPr>
        <w:t xml:space="preserve">analytics, </w:t>
      </w:r>
      <w:r>
        <w:rPr>
          <w:rFonts w:ascii="Calibri" w:eastAsia="Calibri" w:hAnsi="Calibri" w:cs="Calibri"/>
        </w:rPr>
        <w:t xml:space="preserve">mobility, self-service, etc. </w:t>
      </w:r>
      <w:r w:rsidR="007F0417" w:rsidRPr="007F0417">
        <w:rPr>
          <w:rFonts w:ascii="Calibri" w:eastAsia="Calibri" w:hAnsi="Calibri" w:cs="Calibri"/>
        </w:rPr>
        <w:t xml:space="preserve">The Security Rule </w:t>
      </w:r>
      <w:r w:rsidR="00D95E90">
        <w:rPr>
          <w:rFonts w:ascii="Calibri" w:eastAsia="Calibri" w:hAnsi="Calibri" w:cs="Calibri"/>
        </w:rPr>
        <w:t xml:space="preserve">protects individual’s privacy while promoting the adoption, by </w:t>
      </w:r>
      <w:r w:rsidR="00D95E90" w:rsidRPr="00D95E90">
        <w:rPr>
          <w:rFonts w:ascii="Calibri" w:eastAsia="Calibri" w:hAnsi="Calibri" w:cs="Calibri"/>
        </w:rPr>
        <w:t>diverse covered entit</w:t>
      </w:r>
      <w:r w:rsidR="000D7E3F">
        <w:rPr>
          <w:rFonts w:ascii="Calibri" w:eastAsia="Calibri" w:hAnsi="Calibri" w:cs="Calibri"/>
        </w:rPr>
        <w:t>y</w:t>
      </w:r>
      <w:r w:rsidR="00D95E90" w:rsidRPr="00D95E90">
        <w:rPr>
          <w:rFonts w:ascii="Calibri" w:eastAsia="Calibri" w:hAnsi="Calibri" w:cs="Calibri"/>
        </w:rPr>
        <w:t xml:space="preserve"> organizations (providers, health plans, </w:t>
      </w:r>
      <w:r w:rsidR="00EC5DF2">
        <w:rPr>
          <w:rFonts w:ascii="Calibri" w:eastAsia="Calibri" w:hAnsi="Calibri" w:cs="Calibri"/>
        </w:rPr>
        <w:t xml:space="preserve">clearinghouses, </w:t>
      </w:r>
      <w:r w:rsidR="00D95E90" w:rsidRPr="00D95E90">
        <w:rPr>
          <w:rFonts w:ascii="Calibri" w:eastAsia="Calibri" w:hAnsi="Calibri" w:cs="Calibri"/>
        </w:rPr>
        <w:t>etc.)</w:t>
      </w:r>
      <w:r w:rsidR="00D95E90">
        <w:rPr>
          <w:rFonts w:ascii="Calibri" w:eastAsia="Calibri" w:hAnsi="Calibri" w:cs="Calibri"/>
        </w:rPr>
        <w:t>, of leading and emerging digital healthcare technologies that drive high quality healthcare delivery through streamlined efficiencies, automation, new products</w:t>
      </w:r>
      <w:r w:rsidR="000D7E3F">
        <w:rPr>
          <w:rFonts w:ascii="Calibri" w:eastAsia="Calibri" w:hAnsi="Calibri" w:cs="Calibri"/>
        </w:rPr>
        <w:t>,</w:t>
      </w:r>
      <w:r w:rsidR="00D95E90">
        <w:rPr>
          <w:rFonts w:ascii="Calibri" w:eastAsia="Calibri" w:hAnsi="Calibri" w:cs="Calibri"/>
        </w:rPr>
        <w:t xml:space="preserve"> and services. The Security Rule </w:t>
      </w:r>
      <w:r w:rsidR="00EC5DF2">
        <w:rPr>
          <w:rFonts w:ascii="Calibri" w:eastAsia="Calibri" w:hAnsi="Calibri" w:cs="Calibri"/>
        </w:rPr>
        <w:t xml:space="preserve">enables </w:t>
      </w:r>
      <w:r w:rsidR="007F0417" w:rsidRPr="007F0417">
        <w:rPr>
          <w:rFonts w:ascii="Calibri" w:eastAsia="Calibri" w:hAnsi="Calibri" w:cs="Calibri"/>
        </w:rPr>
        <w:t xml:space="preserve">the </w:t>
      </w:r>
      <w:r w:rsidR="00986687">
        <w:rPr>
          <w:rFonts w:ascii="Calibri" w:eastAsia="Calibri" w:hAnsi="Calibri" w:cs="Calibri"/>
        </w:rPr>
        <w:t xml:space="preserve">Privacy Rule’s </w:t>
      </w:r>
      <w:r w:rsidR="007F0417" w:rsidRPr="007F0417">
        <w:rPr>
          <w:rFonts w:ascii="Calibri" w:eastAsia="Calibri" w:hAnsi="Calibri" w:cs="Calibri"/>
        </w:rPr>
        <w:t xml:space="preserve">protections by </w:t>
      </w:r>
      <w:r w:rsidR="00986687">
        <w:rPr>
          <w:rFonts w:ascii="Calibri" w:eastAsia="Calibri" w:hAnsi="Calibri" w:cs="Calibri"/>
        </w:rPr>
        <w:t xml:space="preserve">establishing both </w:t>
      </w:r>
      <w:r w:rsidR="007F0417" w:rsidRPr="007F0417">
        <w:rPr>
          <w:rFonts w:ascii="Calibri" w:eastAsia="Calibri" w:hAnsi="Calibri" w:cs="Calibri"/>
        </w:rPr>
        <w:t xml:space="preserve">technical and non-technical </w:t>
      </w:r>
      <w:r w:rsidR="00986687">
        <w:rPr>
          <w:rFonts w:ascii="Calibri" w:eastAsia="Calibri" w:hAnsi="Calibri" w:cs="Calibri"/>
        </w:rPr>
        <w:t xml:space="preserve">guidance and </w:t>
      </w:r>
      <w:r w:rsidR="00EC5DF2">
        <w:rPr>
          <w:rFonts w:ascii="Calibri" w:eastAsia="Calibri" w:hAnsi="Calibri" w:cs="Calibri"/>
        </w:rPr>
        <w:t>requirements which</w:t>
      </w:r>
      <w:r w:rsidR="00986687">
        <w:rPr>
          <w:rFonts w:ascii="Calibri" w:eastAsia="Calibri" w:hAnsi="Calibri" w:cs="Calibri"/>
        </w:rPr>
        <w:t xml:space="preserve"> </w:t>
      </w:r>
      <w:r w:rsidR="007F0417" w:rsidRPr="007F0417">
        <w:rPr>
          <w:rFonts w:ascii="Calibri" w:eastAsia="Calibri" w:hAnsi="Calibri" w:cs="Calibri"/>
        </w:rPr>
        <w:t xml:space="preserve">covered entities must </w:t>
      </w:r>
      <w:r w:rsidR="00EC5DF2">
        <w:rPr>
          <w:rFonts w:ascii="Calibri" w:eastAsia="Calibri" w:hAnsi="Calibri" w:cs="Calibri"/>
        </w:rPr>
        <w:t xml:space="preserve">both </w:t>
      </w:r>
      <w:r w:rsidR="00986687">
        <w:rPr>
          <w:rFonts w:ascii="Calibri" w:eastAsia="Calibri" w:hAnsi="Calibri" w:cs="Calibri"/>
        </w:rPr>
        <w:t xml:space="preserve">comply with and operationalize </w:t>
      </w:r>
      <w:r w:rsidR="007F0417" w:rsidRPr="007F0417">
        <w:rPr>
          <w:rFonts w:ascii="Calibri" w:eastAsia="Calibri" w:hAnsi="Calibri" w:cs="Calibri"/>
        </w:rPr>
        <w:t>to secure e</w:t>
      </w:r>
      <w:r w:rsidR="000D7E3F">
        <w:rPr>
          <w:rFonts w:ascii="Calibri" w:eastAsia="Calibri" w:hAnsi="Calibri" w:cs="Calibri"/>
        </w:rPr>
        <w:t xml:space="preserve">lectronic </w:t>
      </w:r>
      <w:r w:rsidR="007F0417" w:rsidRPr="007F0417">
        <w:rPr>
          <w:rFonts w:ascii="Calibri" w:eastAsia="Calibri" w:hAnsi="Calibri" w:cs="Calibri"/>
        </w:rPr>
        <w:t>PHI</w:t>
      </w:r>
      <w:r w:rsidR="000D7E3F">
        <w:rPr>
          <w:rFonts w:ascii="Calibri" w:eastAsia="Calibri" w:hAnsi="Calibri" w:cs="Calibri"/>
        </w:rPr>
        <w:t xml:space="preserve"> (e-PHI)</w:t>
      </w:r>
      <w:r w:rsidR="007F0417" w:rsidRPr="007F0417">
        <w:rPr>
          <w:rFonts w:ascii="Calibri" w:eastAsia="Calibri" w:hAnsi="Calibri" w:cs="Calibri"/>
        </w:rPr>
        <w:t>.</w:t>
      </w:r>
      <w:r>
        <w:rPr>
          <w:rFonts w:ascii="Calibri" w:eastAsia="Calibri" w:hAnsi="Calibri" w:cs="Calibri"/>
        </w:rPr>
        <w:t xml:space="preserve"> </w:t>
      </w:r>
      <w:r w:rsidR="00EC5DF2" w:rsidRPr="00EC5DF2">
        <w:rPr>
          <w:rFonts w:ascii="Calibri" w:eastAsia="Calibri" w:hAnsi="Calibri" w:cs="Calibri"/>
        </w:rPr>
        <w:t>The Security Rule</w:t>
      </w:r>
      <w:r w:rsidR="00EC5DF2">
        <w:rPr>
          <w:rFonts w:ascii="Calibri" w:eastAsia="Calibri" w:hAnsi="Calibri" w:cs="Calibri"/>
        </w:rPr>
        <w:t>’s</w:t>
      </w:r>
      <w:r w:rsidR="00EC5DF2" w:rsidRPr="00EC5DF2">
        <w:rPr>
          <w:rFonts w:ascii="Calibri" w:eastAsia="Calibri" w:hAnsi="Calibri" w:cs="Calibri"/>
        </w:rPr>
        <w:t xml:space="preserve"> </w:t>
      </w:r>
      <w:r w:rsidR="00EC5DF2">
        <w:rPr>
          <w:rFonts w:ascii="Calibri" w:eastAsia="Calibri" w:hAnsi="Calibri" w:cs="Calibri"/>
        </w:rPr>
        <w:t>flexibility and scalability empowers the diverse healthcare market to operationalize p</w:t>
      </w:r>
      <w:r w:rsidRPr="0017764D">
        <w:rPr>
          <w:rFonts w:ascii="Calibri" w:eastAsia="Calibri" w:hAnsi="Calibri" w:cs="Calibri"/>
        </w:rPr>
        <w:t xml:space="preserve">olicies, procedures, </w:t>
      </w:r>
      <w:r w:rsidR="00173CCB">
        <w:rPr>
          <w:rFonts w:ascii="Calibri" w:eastAsia="Calibri" w:hAnsi="Calibri" w:cs="Calibri"/>
        </w:rPr>
        <w:t xml:space="preserve">and </w:t>
      </w:r>
      <w:r w:rsidRPr="0017764D">
        <w:rPr>
          <w:rFonts w:ascii="Calibri" w:eastAsia="Calibri" w:hAnsi="Calibri" w:cs="Calibri"/>
        </w:rPr>
        <w:t xml:space="preserve">technologies </w:t>
      </w:r>
      <w:r w:rsidR="00EC5DF2">
        <w:rPr>
          <w:rFonts w:ascii="Calibri" w:eastAsia="Calibri" w:hAnsi="Calibri" w:cs="Calibri"/>
        </w:rPr>
        <w:t xml:space="preserve">relative to </w:t>
      </w:r>
      <w:r w:rsidRPr="0017764D">
        <w:rPr>
          <w:rFonts w:ascii="Calibri" w:eastAsia="Calibri" w:hAnsi="Calibri" w:cs="Calibri"/>
        </w:rPr>
        <w:t xml:space="preserve">the entity’s </w:t>
      </w:r>
      <w:r w:rsidR="00EC5DF2">
        <w:rPr>
          <w:rFonts w:ascii="Calibri" w:eastAsia="Calibri" w:hAnsi="Calibri" w:cs="Calibri"/>
        </w:rPr>
        <w:t xml:space="preserve">organizational </w:t>
      </w:r>
      <w:r w:rsidRPr="0017764D">
        <w:rPr>
          <w:rFonts w:ascii="Calibri" w:eastAsia="Calibri" w:hAnsi="Calibri" w:cs="Calibri"/>
        </w:rPr>
        <w:t xml:space="preserve">size, structure, and </w:t>
      </w:r>
      <w:r w:rsidR="00EC5DF2">
        <w:rPr>
          <w:rFonts w:ascii="Calibri" w:eastAsia="Calibri" w:hAnsi="Calibri" w:cs="Calibri"/>
        </w:rPr>
        <w:t xml:space="preserve">security and privacy </w:t>
      </w:r>
      <w:r w:rsidRPr="0017764D">
        <w:rPr>
          <w:rFonts w:ascii="Calibri" w:eastAsia="Calibri" w:hAnsi="Calibri" w:cs="Calibri"/>
        </w:rPr>
        <w:t xml:space="preserve">risks to </w:t>
      </w:r>
      <w:r w:rsidR="00EC5DF2">
        <w:rPr>
          <w:rFonts w:ascii="Calibri" w:eastAsia="Calibri" w:hAnsi="Calibri" w:cs="Calibri"/>
        </w:rPr>
        <w:t xml:space="preserve">their </w:t>
      </w:r>
      <w:r w:rsidRPr="0017764D">
        <w:rPr>
          <w:rFonts w:ascii="Calibri" w:eastAsia="Calibri" w:hAnsi="Calibri" w:cs="Calibri"/>
        </w:rPr>
        <w:t>consumers’ e-PHI.</w:t>
      </w:r>
    </w:p>
    <w:p w14:paraId="01C176F6" w14:textId="76F292D6" w:rsidR="006264A0" w:rsidRDefault="00224426" w:rsidP="00A37D58">
      <w:pPr>
        <w:rPr>
          <w:rFonts w:ascii="Calibri" w:eastAsia="Calibri" w:hAnsi="Calibri" w:cs="Calibri"/>
        </w:rPr>
      </w:pPr>
      <w:r w:rsidRPr="00224426">
        <w:rPr>
          <w:rFonts w:ascii="Calibri" w:eastAsia="Calibri" w:hAnsi="Calibri" w:cs="Calibri"/>
        </w:rPr>
        <w:t>In 2009, The Health Information Technology for Economic and Clinical Health (HITECH) Act was authorized through the American Recovery and Reinvestment Act (ARRA) to promote the adoption and meaningful use of</w:t>
      </w:r>
      <w:r w:rsidR="000D7E3F">
        <w:rPr>
          <w:rFonts w:ascii="Calibri" w:eastAsia="Calibri" w:hAnsi="Calibri" w:cs="Calibri"/>
        </w:rPr>
        <w:t xml:space="preserve"> health IT</w:t>
      </w:r>
      <w:r w:rsidRPr="00224426">
        <w:rPr>
          <w:rFonts w:ascii="Calibri" w:eastAsia="Calibri" w:hAnsi="Calibri" w:cs="Calibri"/>
        </w:rPr>
        <w:t xml:space="preserve">. Specifically, Subtitle D addresses the privacy and security of the electronic transmission of PHI </w:t>
      </w:r>
      <w:r w:rsidR="000D7E3F">
        <w:rPr>
          <w:rFonts w:ascii="Calibri" w:eastAsia="Calibri" w:hAnsi="Calibri" w:cs="Calibri"/>
        </w:rPr>
        <w:t>and e-PHI</w:t>
      </w:r>
      <w:r w:rsidRPr="00224426">
        <w:rPr>
          <w:rFonts w:ascii="Calibri" w:eastAsia="Calibri" w:hAnsi="Calibri" w:cs="Calibri"/>
        </w:rPr>
        <w:t>, including strengthening legal enforcement of HIPAA.</w:t>
      </w:r>
      <w:r w:rsidR="00894F27">
        <w:rPr>
          <w:rFonts w:ascii="Calibri" w:eastAsia="Calibri" w:hAnsi="Calibri" w:cs="Calibri"/>
        </w:rPr>
        <w:t xml:space="preserve"> </w:t>
      </w:r>
      <w:r w:rsidR="00591101">
        <w:rPr>
          <w:rFonts w:ascii="Calibri" w:eastAsia="Calibri" w:hAnsi="Calibri" w:cs="Calibri"/>
        </w:rPr>
        <w:t>The following timeline illustrate</w:t>
      </w:r>
      <w:r w:rsidR="001635E7">
        <w:rPr>
          <w:rFonts w:ascii="Calibri" w:eastAsia="Calibri" w:hAnsi="Calibri" w:cs="Calibri"/>
        </w:rPr>
        <w:t>s</w:t>
      </w:r>
      <w:r w:rsidR="00591101">
        <w:rPr>
          <w:rFonts w:ascii="Calibri" w:eastAsia="Calibri" w:hAnsi="Calibri" w:cs="Calibri"/>
        </w:rPr>
        <w:t xml:space="preserve"> the various security and privacy legislation and accompanying guidance that exist for the protection</w:t>
      </w:r>
      <w:r w:rsidR="001635E7">
        <w:rPr>
          <w:rFonts w:ascii="Calibri" w:eastAsia="Calibri" w:hAnsi="Calibri" w:cs="Calibri"/>
        </w:rPr>
        <w:t>s</w:t>
      </w:r>
      <w:r w:rsidR="00591101">
        <w:rPr>
          <w:rFonts w:ascii="Calibri" w:eastAsia="Calibri" w:hAnsi="Calibri" w:cs="Calibri"/>
        </w:rPr>
        <w:t xml:space="preserve"> of PHI. </w:t>
      </w:r>
    </w:p>
    <w:p w14:paraId="40E19991" w14:textId="52F8260F" w:rsidR="00FA2DC2" w:rsidRPr="003E1C82" w:rsidRDefault="00FA2DC2" w:rsidP="00FA2DC2">
      <w:r w:rsidRPr="003E1C82">
        <w:t>ARRA stipulates that the National Institute of Standards and Technology (NIST)</w:t>
      </w:r>
      <w:r w:rsidRPr="003E1C82">
        <w:rPr>
          <w:rStyle w:val="FootnoteReference"/>
        </w:rPr>
        <w:footnoteReference w:id="1"/>
      </w:r>
      <w:r w:rsidR="0099090D">
        <w:t xml:space="preserve"> </w:t>
      </w:r>
      <w:r w:rsidRPr="003E1C82">
        <w:t>should:</w:t>
      </w:r>
    </w:p>
    <w:p w14:paraId="29CD3787" w14:textId="77777777" w:rsidR="00FA2DC2" w:rsidRPr="003E1C82" w:rsidRDefault="00FA2DC2" w:rsidP="00FA2DC2">
      <w:pPr>
        <w:pStyle w:val="ListParagraph"/>
        <w:numPr>
          <w:ilvl w:val="0"/>
          <w:numId w:val="29"/>
        </w:numPr>
        <w:spacing w:after="0" w:line="240" w:lineRule="auto"/>
        <w:contextualSpacing w:val="0"/>
      </w:pPr>
      <w:r w:rsidRPr="003E1C82">
        <w:t xml:space="preserve">Advance health care information enterprise integration through standards and testing </w:t>
      </w:r>
    </w:p>
    <w:p w14:paraId="40D80671" w14:textId="77777777" w:rsidR="00FA2DC2" w:rsidRPr="003E1C82" w:rsidRDefault="00FA2DC2" w:rsidP="00FA2DC2">
      <w:pPr>
        <w:pStyle w:val="ListParagraph"/>
        <w:numPr>
          <w:ilvl w:val="0"/>
          <w:numId w:val="29"/>
        </w:numPr>
        <w:spacing w:after="0" w:line="240" w:lineRule="auto"/>
        <w:contextualSpacing w:val="0"/>
      </w:pPr>
      <w:r w:rsidRPr="003E1C82">
        <w:t xml:space="preserve">Establish grants program for health enterprise integration centers </w:t>
      </w:r>
    </w:p>
    <w:p w14:paraId="3A7BF312" w14:textId="77777777" w:rsidR="00FA2DC2" w:rsidRPr="003E1C82" w:rsidRDefault="00FA2DC2" w:rsidP="00FA2DC2">
      <w:pPr>
        <w:pStyle w:val="ListParagraph"/>
        <w:numPr>
          <w:ilvl w:val="0"/>
          <w:numId w:val="29"/>
        </w:numPr>
        <w:spacing w:after="0" w:line="240" w:lineRule="auto"/>
        <w:contextualSpacing w:val="0"/>
      </w:pPr>
      <w:r w:rsidRPr="003E1C82">
        <w:t xml:space="preserve">Consult on: </w:t>
      </w:r>
    </w:p>
    <w:p w14:paraId="4028C119" w14:textId="2A3A018C" w:rsidR="00FA2DC2" w:rsidRPr="003E1C82" w:rsidRDefault="000D7E3F" w:rsidP="00FA2DC2">
      <w:pPr>
        <w:pStyle w:val="ListParagraph"/>
        <w:numPr>
          <w:ilvl w:val="1"/>
          <w:numId w:val="29"/>
        </w:numPr>
        <w:spacing w:after="0" w:line="240" w:lineRule="auto"/>
        <w:contextualSpacing w:val="0"/>
      </w:pPr>
      <w:r>
        <w:t>U</w:t>
      </w:r>
      <w:r w:rsidR="00FA2DC2" w:rsidRPr="003E1C82">
        <w:t xml:space="preserve">pdating the Federal Health IT Strategic Plan </w:t>
      </w:r>
    </w:p>
    <w:p w14:paraId="7684A176" w14:textId="0E5A329A" w:rsidR="00FA2DC2" w:rsidRPr="003E1C82" w:rsidRDefault="000D7E3F" w:rsidP="00FA2DC2">
      <w:pPr>
        <w:pStyle w:val="ListParagraph"/>
        <w:numPr>
          <w:ilvl w:val="1"/>
          <w:numId w:val="29"/>
        </w:numPr>
        <w:spacing w:after="0" w:line="240" w:lineRule="auto"/>
        <w:contextualSpacing w:val="0"/>
      </w:pPr>
      <w:r>
        <w:t>V</w:t>
      </w:r>
      <w:r w:rsidR="00FA2DC2" w:rsidRPr="003E1C82">
        <w:t xml:space="preserve">oluntary certification programs </w:t>
      </w:r>
    </w:p>
    <w:p w14:paraId="593333B6" w14:textId="3553F026" w:rsidR="00FA2DC2" w:rsidRPr="003E1C82" w:rsidRDefault="000D7E3F" w:rsidP="00FA2DC2">
      <w:pPr>
        <w:pStyle w:val="ListParagraph"/>
        <w:numPr>
          <w:ilvl w:val="1"/>
          <w:numId w:val="29"/>
        </w:numPr>
        <w:spacing w:after="0" w:line="240" w:lineRule="auto"/>
        <w:contextualSpacing w:val="0"/>
      </w:pPr>
      <w:r>
        <w:t>H</w:t>
      </w:r>
      <w:r w:rsidR="00FA2DC2" w:rsidRPr="003E1C82">
        <w:t xml:space="preserve">ealth IT implementation </w:t>
      </w:r>
    </w:p>
    <w:p w14:paraId="1C53B319" w14:textId="77777777" w:rsidR="00FA2DC2" w:rsidRPr="003E1C82" w:rsidRDefault="00FA2DC2" w:rsidP="00FA2DC2">
      <w:pPr>
        <w:pStyle w:val="ListParagraph"/>
        <w:numPr>
          <w:ilvl w:val="0"/>
          <w:numId w:val="29"/>
        </w:numPr>
        <w:spacing w:after="0" w:line="240" w:lineRule="auto"/>
        <w:contextualSpacing w:val="0"/>
      </w:pPr>
      <w:r w:rsidRPr="003E1C82">
        <w:t>Provide pilot testing of standards and implementation specifications, as requested</w:t>
      </w:r>
    </w:p>
    <w:p w14:paraId="520A81B9" w14:textId="77777777" w:rsidR="00FA2DC2" w:rsidRPr="003E1C82" w:rsidRDefault="00FA2DC2" w:rsidP="003E1C82">
      <w:pPr>
        <w:spacing w:before="240"/>
      </w:pPr>
      <w:r w:rsidRPr="003E1C82">
        <w:t xml:space="preserve">NIST’s security specifications enable communicating parties to ensure the confidentiality, integrity, and availability of health information and helps to safeguard health information by providing a harmonized set of security principles and guidelines for use in developing secure health information exchanges. Technical accomplishments include: </w:t>
      </w:r>
    </w:p>
    <w:p w14:paraId="781F8685" w14:textId="38E410CB" w:rsidR="00FA2DC2" w:rsidRPr="003E1C82" w:rsidRDefault="00FA2DC2" w:rsidP="006C7005">
      <w:pPr>
        <w:pStyle w:val="ListParagraph"/>
        <w:numPr>
          <w:ilvl w:val="0"/>
          <w:numId w:val="29"/>
        </w:numPr>
        <w:spacing w:after="0" w:line="240" w:lineRule="auto"/>
        <w:contextualSpacing w:val="0"/>
      </w:pPr>
      <w:r w:rsidRPr="003E1C82">
        <w:t xml:space="preserve">Lead author of </w:t>
      </w:r>
      <w:r w:rsidR="006C7005">
        <w:t xml:space="preserve">the </w:t>
      </w:r>
      <w:r w:rsidR="006C7005" w:rsidRPr="006C7005">
        <w:t>Healthcare Information Technology Standards Panel (HITSP)</w:t>
      </w:r>
      <w:r w:rsidRPr="003E1C82">
        <w:t xml:space="preserve"> secure communication construct </w:t>
      </w:r>
    </w:p>
    <w:p w14:paraId="6C78A73B" w14:textId="77777777" w:rsidR="00FA2DC2" w:rsidRPr="003E1C82" w:rsidRDefault="00FA2DC2" w:rsidP="00FA2DC2">
      <w:pPr>
        <w:pStyle w:val="ListParagraph"/>
        <w:numPr>
          <w:ilvl w:val="0"/>
          <w:numId w:val="29"/>
        </w:numPr>
        <w:spacing w:after="0" w:line="240" w:lineRule="auto"/>
        <w:contextualSpacing w:val="0"/>
      </w:pPr>
      <w:r w:rsidRPr="003E1C82">
        <w:t>Developed a resource guide for covered entities implementing the HIPAA Security Rule</w:t>
      </w:r>
    </w:p>
    <w:p w14:paraId="6BB479A4" w14:textId="19E28467" w:rsidR="00FA2DC2" w:rsidRDefault="004C1886" w:rsidP="004C1886">
      <w:pPr>
        <w:pStyle w:val="Heading2"/>
        <w:rPr>
          <w:rFonts w:eastAsia="Calibri"/>
        </w:rPr>
      </w:pPr>
      <w:bookmarkStart w:id="6" w:name="_Toc9404317"/>
      <w:r>
        <w:rPr>
          <w:rFonts w:eastAsia="Calibri"/>
        </w:rPr>
        <w:lastRenderedPageBreak/>
        <w:t>Exceptions to the HIPAA Privacy Rule</w:t>
      </w:r>
      <w:bookmarkEnd w:id="6"/>
    </w:p>
    <w:p w14:paraId="2DB84ECA" w14:textId="5DBE1269" w:rsidR="00EF5F82" w:rsidRPr="008E1673" w:rsidRDefault="00EF5F82" w:rsidP="005A1638">
      <w:r w:rsidRPr="008E1673">
        <w:t>The Department of Health and Human Services</w:t>
      </w:r>
      <w:r w:rsidR="008E1673">
        <w:t xml:space="preserve"> (HHS)</w:t>
      </w:r>
      <w:r w:rsidRPr="008E1673">
        <w:t xml:space="preserve"> Office of Civil Rights (OCR) released clarifying guidance on </w:t>
      </w:r>
      <w:r w:rsidR="008E1673">
        <w:t>the exceptions to</w:t>
      </w:r>
      <w:r w:rsidRPr="008E1673">
        <w:t xml:space="preserve"> the HIPAA Privacy Rule </w:t>
      </w:r>
      <w:r w:rsidR="008E1673">
        <w:t xml:space="preserve">that </w:t>
      </w:r>
      <w:r w:rsidRPr="008E1673">
        <w:t>permit disclosure of PHI.</w:t>
      </w:r>
    </w:p>
    <w:p w14:paraId="12B357B4" w14:textId="3AAD3612" w:rsidR="00EF5F82" w:rsidRDefault="003E25AB">
      <w:r w:rsidRPr="005A1638">
        <w:t xml:space="preserve">This guidance </w:t>
      </w:r>
      <w:r w:rsidR="00EF5F82" w:rsidRPr="008E1673">
        <w:t>clarifies that physicians may disclose PHI to a patient’s loved ones, regardless of whether they are recognized as relatives under applicable law</w:t>
      </w:r>
      <w:r w:rsidR="008E1673" w:rsidRPr="005A1638">
        <w:t xml:space="preserve">, and that permissive disclosures are not limited by the sex or gender identity of the person. </w:t>
      </w:r>
      <w:r w:rsidR="00EF5F82" w:rsidRPr="008E1673">
        <w:t xml:space="preserve">For example, a patient’s unmarried </w:t>
      </w:r>
      <w:r w:rsidR="00492141">
        <w:t xml:space="preserve">same-sex </w:t>
      </w:r>
      <w:r w:rsidR="00EF5F82" w:rsidRPr="008E1673">
        <w:t>partner is recognized as a relative with whom PHI can be shared.</w:t>
      </w:r>
    </w:p>
    <w:p w14:paraId="5C6EB2B4" w14:textId="5D5A79CF" w:rsidR="00EF5F82" w:rsidRPr="005A1638" w:rsidRDefault="00DD079F" w:rsidP="005A1638">
      <w:pPr>
        <w:rPr>
          <w:highlight w:val="yellow"/>
        </w:rPr>
      </w:pPr>
      <w:r>
        <w:t>In addition, this HIPAA and HITECH legislation permits disclosure of PHI to support public health activities including:</w:t>
      </w:r>
    </w:p>
    <w:p w14:paraId="1DCA9DD3" w14:textId="6B02D9FD" w:rsidR="00EF5F82" w:rsidRPr="00DD079F" w:rsidRDefault="00EF5F82" w:rsidP="00EF5F82">
      <w:pPr>
        <w:numPr>
          <w:ilvl w:val="0"/>
          <w:numId w:val="34"/>
        </w:numPr>
      </w:pPr>
      <w:r w:rsidRPr="00DD079F">
        <w:t xml:space="preserve">Reporting </w:t>
      </w:r>
      <w:r w:rsidR="00492141" w:rsidRPr="00DD079F">
        <w:t>communicable</w:t>
      </w:r>
      <w:r w:rsidRPr="00DD079F">
        <w:t xml:space="preserve"> disease</w:t>
      </w:r>
    </w:p>
    <w:p w14:paraId="011579DA" w14:textId="49A6DCBF" w:rsidR="00EF5F82" w:rsidRPr="00DD079F" w:rsidRDefault="00EF5F82" w:rsidP="00EF5F82">
      <w:pPr>
        <w:numPr>
          <w:ilvl w:val="0"/>
          <w:numId w:val="34"/>
        </w:numPr>
      </w:pPr>
      <w:r w:rsidRPr="00DD079F">
        <w:t xml:space="preserve">Conducting public health </w:t>
      </w:r>
      <w:r w:rsidR="00492141" w:rsidRPr="00DD079F">
        <w:t>monitoring</w:t>
      </w:r>
    </w:p>
    <w:p w14:paraId="2FF05DA3" w14:textId="77777777" w:rsidR="00EF5F82" w:rsidRPr="00DD079F" w:rsidRDefault="00EF5F82" w:rsidP="00EF5F82">
      <w:pPr>
        <w:numPr>
          <w:ilvl w:val="0"/>
          <w:numId w:val="34"/>
        </w:numPr>
      </w:pPr>
      <w:r w:rsidRPr="00DD079F">
        <w:t>Public health investigations and interventions</w:t>
      </w:r>
    </w:p>
    <w:p w14:paraId="33450DF5" w14:textId="4F8818AC" w:rsidR="00EF5F82" w:rsidRPr="00DD079F" w:rsidRDefault="00492141" w:rsidP="00EF5F82">
      <w:pPr>
        <w:numPr>
          <w:ilvl w:val="0"/>
          <w:numId w:val="34"/>
        </w:numPr>
      </w:pPr>
      <w:r w:rsidRPr="00DD079F">
        <w:t>Supporting</w:t>
      </w:r>
      <w:r w:rsidR="00EF5F82" w:rsidRPr="00DD079F">
        <w:t xml:space="preserve"> Food and Drug Administration </w:t>
      </w:r>
      <w:r w:rsidRPr="00DD079F">
        <w:t>monitoring</w:t>
      </w:r>
    </w:p>
    <w:p w14:paraId="7B3549E1" w14:textId="77777777" w:rsidR="00EF5F82" w:rsidRPr="00DD079F" w:rsidRDefault="00EF5F82" w:rsidP="00EF5F82">
      <w:pPr>
        <w:numPr>
          <w:ilvl w:val="0"/>
          <w:numId w:val="34"/>
        </w:numPr>
      </w:pPr>
      <w:r w:rsidRPr="00DD079F">
        <w:t>Identifying patients exposed to a communicable disease</w:t>
      </w:r>
    </w:p>
    <w:p w14:paraId="46602513" w14:textId="3EADB26B" w:rsidR="00EF5F82" w:rsidRPr="00DD079F" w:rsidRDefault="00EF5F82" w:rsidP="00EF5F82">
      <w:pPr>
        <w:numPr>
          <w:ilvl w:val="0"/>
          <w:numId w:val="34"/>
        </w:numPr>
      </w:pPr>
      <w:r w:rsidRPr="00DD079F">
        <w:t xml:space="preserve">Supporting medical </w:t>
      </w:r>
      <w:r w:rsidR="00492141" w:rsidRPr="00DD079F">
        <w:t>monitoring</w:t>
      </w:r>
      <w:r w:rsidRPr="00DD079F">
        <w:t xml:space="preserve"> of the workplace</w:t>
      </w:r>
    </w:p>
    <w:p w14:paraId="717B3486" w14:textId="65802CD5" w:rsidR="00EF5F82" w:rsidRPr="00DD079F" w:rsidRDefault="00492141" w:rsidP="00EF5F82">
      <w:pPr>
        <w:numPr>
          <w:ilvl w:val="0"/>
          <w:numId w:val="34"/>
        </w:numPr>
      </w:pPr>
      <w:r w:rsidRPr="00DD079F">
        <w:t>Supporting the u</w:t>
      </w:r>
      <w:r w:rsidR="00EF5F82" w:rsidRPr="00DD079F">
        <w:t>s</w:t>
      </w:r>
      <w:r w:rsidRPr="00DD079F">
        <w:t>e of</w:t>
      </w:r>
      <w:r w:rsidR="00EF5F82" w:rsidRPr="00DD079F">
        <w:t xml:space="preserve"> certified electronic health record technology</w:t>
      </w:r>
    </w:p>
    <w:p w14:paraId="21FE2AE7" w14:textId="605919C2" w:rsidR="004C1886" w:rsidRPr="005A1638" w:rsidRDefault="00492141" w:rsidP="004C1886">
      <w:r w:rsidRPr="005A1638">
        <w:t>The full list of exceptions to the HIPAA Privacy Rule includes:</w:t>
      </w:r>
    </w:p>
    <w:p w14:paraId="7D84D2E2" w14:textId="632C637C" w:rsidR="00F14EDD" w:rsidRDefault="004C1886" w:rsidP="004C1886">
      <w:pPr>
        <w:pStyle w:val="ListParagraph"/>
        <w:numPr>
          <w:ilvl w:val="0"/>
          <w:numId w:val="33"/>
        </w:numPr>
      </w:pPr>
      <w:r>
        <w:t xml:space="preserve">45 C.F.R. </w:t>
      </w:r>
      <w:r w:rsidR="00F14EDD" w:rsidRPr="005A1638">
        <w:t>§ 164.50</w:t>
      </w:r>
      <w:r w:rsidR="00F14EDD">
        <w:t>2</w:t>
      </w:r>
      <w:r w:rsidR="00501A2C">
        <w:t>(a)(1)(iii)</w:t>
      </w:r>
      <w:r w:rsidR="00F14EDD">
        <w:t xml:space="preserve"> –</w:t>
      </w:r>
      <w:r w:rsidR="00501A2C">
        <w:t xml:space="preserve"> Incidental to a permissible use or disclosure</w:t>
      </w:r>
    </w:p>
    <w:p w14:paraId="3F1743DC" w14:textId="38F16F8D" w:rsidR="00501A2C" w:rsidRDefault="00501A2C" w:rsidP="00501A2C">
      <w:pPr>
        <w:pStyle w:val="ListParagraph"/>
        <w:numPr>
          <w:ilvl w:val="0"/>
          <w:numId w:val="33"/>
        </w:numPr>
      </w:pPr>
      <w:r>
        <w:t xml:space="preserve">45 C.F.R. </w:t>
      </w:r>
      <w:r w:rsidRPr="00EF165B">
        <w:t>§ 164.50</w:t>
      </w:r>
      <w:r>
        <w:t>6(c) – Treatment, payment, and healthcare operations purposes (e.g.</w:t>
      </w:r>
      <w:r w:rsidR="000D7E3F">
        <w:t>,</w:t>
      </w:r>
      <w:r>
        <w:t xml:space="preserve"> quality improvement and credentialing)</w:t>
      </w:r>
    </w:p>
    <w:p w14:paraId="6C63DD04" w14:textId="21515675" w:rsidR="00EA10CB" w:rsidRPr="00BF053A" w:rsidRDefault="00EA10CB" w:rsidP="00EA10CB">
      <w:pPr>
        <w:pStyle w:val="ListParagraph"/>
        <w:numPr>
          <w:ilvl w:val="0"/>
          <w:numId w:val="33"/>
        </w:numPr>
      </w:pPr>
      <w:r>
        <w:t xml:space="preserve">45 C.F.R. </w:t>
      </w:r>
      <w:r w:rsidRPr="00BF053A">
        <w:t>§ 164.5</w:t>
      </w:r>
      <w:r>
        <w:t>10(a)(1) – Directory information (e.g.</w:t>
      </w:r>
      <w:r w:rsidR="000D7E3F">
        <w:t>,</w:t>
      </w:r>
      <w:r>
        <w:t xml:space="preserve"> location, general health status)</w:t>
      </w:r>
      <w:r w:rsidRPr="00EA10CB">
        <w:t xml:space="preserve"> </w:t>
      </w:r>
      <w:r>
        <w:t>[requires opportunity for the patient to agree or object to the disclosure]</w:t>
      </w:r>
    </w:p>
    <w:p w14:paraId="3B226FCA" w14:textId="486E7F00" w:rsidR="00EA10CB" w:rsidRDefault="00EA10CB">
      <w:pPr>
        <w:pStyle w:val="ListParagraph"/>
        <w:numPr>
          <w:ilvl w:val="0"/>
          <w:numId w:val="33"/>
        </w:numPr>
      </w:pPr>
      <w:r>
        <w:t xml:space="preserve">45 C.F.R. </w:t>
      </w:r>
      <w:r w:rsidRPr="00BF053A">
        <w:t>§ 164.5</w:t>
      </w:r>
      <w:r>
        <w:t>10(b)(1)(i) – To notify family/friends/patient-designated individuals involved in a patient’s care</w:t>
      </w:r>
      <w:r w:rsidRPr="00EA10CB">
        <w:t xml:space="preserve"> </w:t>
      </w:r>
      <w:r>
        <w:t>[requires opportunity for the patient to agree or object to the disclosure]</w:t>
      </w:r>
    </w:p>
    <w:p w14:paraId="20E1BDB6" w14:textId="520AFB31" w:rsidR="00F14EDD" w:rsidRPr="00BF053A" w:rsidRDefault="00F14EDD">
      <w:pPr>
        <w:pStyle w:val="ListParagraph"/>
        <w:numPr>
          <w:ilvl w:val="0"/>
          <w:numId w:val="33"/>
        </w:numPr>
      </w:pPr>
      <w:r>
        <w:t xml:space="preserve">45 C.F.R. </w:t>
      </w:r>
      <w:r w:rsidRPr="00BF053A">
        <w:t>§ 164.5</w:t>
      </w:r>
      <w:r>
        <w:t>10</w:t>
      </w:r>
      <w:r w:rsidR="00501A2C">
        <w:t>(b)(1)(ii)</w:t>
      </w:r>
      <w:r>
        <w:t xml:space="preserve"> </w:t>
      </w:r>
      <w:r w:rsidR="00501A2C">
        <w:t>–</w:t>
      </w:r>
      <w:r>
        <w:t xml:space="preserve"> </w:t>
      </w:r>
      <w:r w:rsidR="00501A2C">
        <w:t>To notify persons responsible for a patient’s care or a patient’s location and health status [requires opportunity for the patient to agree or object to the</w:t>
      </w:r>
      <w:r w:rsidR="00EA10CB">
        <w:t xml:space="preserve"> </w:t>
      </w:r>
      <w:r w:rsidR="00501A2C">
        <w:t>disclosure]</w:t>
      </w:r>
    </w:p>
    <w:p w14:paraId="02038290" w14:textId="0A5358A0" w:rsidR="00F14EDD" w:rsidRDefault="00F14EDD" w:rsidP="00F14EDD">
      <w:pPr>
        <w:pStyle w:val="ListParagraph"/>
        <w:numPr>
          <w:ilvl w:val="0"/>
          <w:numId w:val="33"/>
        </w:numPr>
      </w:pPr>
      <w:r>
        <w:t xml:space="preserve">45 C.F.R. </w:t>
      </w:r>
      <w:r w:rsidRPr="00BF053A">
        <w:t>§ 164.5</w:t>
      </w:r>
      <w:r>
        <w:t>12</w:t>
      </w:r>
      <w:r w:rsidR="00501A2C">
        <w:t>(b)(1)(i)</w:t>
      </w:r>
      <w:r>
        <w:t xml:space="preserve"> </w:t>
      </w:r>
      <w:r w:rsidR="00EA10CB">
        <w:t>–</w:t>
      </w:r>
      <w:r>
        <w:t xml:space="preserve"> </w:t>
      </w:r>
      <w:r w:rsidR="00EA10CB">
        <w:t>To legally-designated authorities for public health activities</w:t>
      </w:r>
    </w:p>
    <w:p w14:paraId="42D7F20A" w14:textId="3A7BB317" w:rsidR="00EA10CB" w:rsidRDefault="00EA10CB" w:rsidP="00F14EDD">
      <w:pPr>
        <w:pStyle w:val="ListParagraph"/>
        <w:numPr>
          <w:ilvl w:val="0"/>
          <w:numId w:val="33"/>
        </w:numPr>
      </w:pPr>
      <w:r>
        <w:t xml:space="preserve">45 C.F.R. </w:t>
      </w:r>
      <w:r w:rsidRPr="00BF053A">
        <w:t>§ 164.5</w:t>
      </w:r>
      <w:r>
        <w:t>12(b)(1)(ii) – To report child abuse or neglect</w:t>
      </w:r>
    </w:p>
    <w:p w14:paraId="04B24BBC" w14:textId="5FD51D22" w:rsidR="00C62F93" w:rsidRDefault="00C62F93" w:rsidP="00F14EDD">
      <w:pPr>
        <w:pStyle w:val="ListParagraph"/>
        <w:numPr>
          <w:ilvl w:val="0"/>
          <w:numId w:val="33"/>
        </w:numPr>
      </w:pPr>
      <w:r>
        <w:t xml:space="preserve">45 C.F.R. </w:t>
      </w:r>
      <w:r w:rsidRPr="00BF053A">
        <w:t>§ 164.5</w:t>
      </w:r>
      <w:r>
        <w:t xml:space="preserve">12(b)(1)(iii) – </w:t>
      </w:r>
      <w:r w:rsidR="008C05DF">
        <w:t>W</w:t>
      </w:r>
      <w:r w:rsidR="008C05DF" w:rsidRPr="008C05DF">
        <w:t>ith respect to an FDA-regulated product or activity for which that person has responsibility, for the purpose of activities related to the quality, safety or effectiveness of such FDA-regulated product or activity.</w:t>
      </w:r>
    </w:p>
    <w:p w14:paraId="7FB7FD0B" w14:textId="36923F57" w:rsidR="00C62F93" w:rsidRDefault="00C62F93" w:rsidP="00F14EDD">
      <w:pPr>
        <w:pStyle w:val="ListParagraph"/>
        <w:numPr>
          <w:ilvl w:val="0"/>
          <w:numId w:val="33"/>
        </w:numPr>
      </w:pPr>
      <w:r>
        <w:t xml:space="preserve">45 C.F.R. </w:t>
      </w:r>
      <w:r w:rsidRPr="00BF053A">
        <w:t>§ 164.5</w:t>
      </w:r>
      <w:r>
        <w:t xml:space="preserve">12(b)(1)(iv) – </w:t>
      </w:r>
      <w:r w:rsidR="004671E0">
        <w:t>To an individual exposed to or at risk of contracting a communicable disease</w:t>
      </w:r>
    </w:p>
    <w:p w14:paraId="51CC9457" w14:textId="2394B91C" w:rsidR="00C62F93" w:rsidRDefault="00C62F93" w:rsidP="00F14EDD">
      <w:pPr>
        <w:pStyle w:val="ListParagraph"/>
        <w:numPr>
          <w:ilvl w:val="0"/>
          <w:numId w:val="33"/>
        </w:numPr>
      </w:pPr>
      <w:r>
        <w:t xml:space="preserve">45 C.F.R. </w:t>
      </w:r>
      <w:r w:rsidRPr="00BF053A">
        <w:t>§ 164.5</w:t>
      </w:r>
      <w:r>
        <w:t>12(b)(1)(v) – To an employer about an employee’s work-related illness/injury or about findings from workplace medical surveillance when the patient is treated at the employer’s request</w:t>
      </w:r>
    </w:p>
    <w:p w14:paraId="2F00AB52" w14:textId="1B8E2C1C" w:rsidR="00C62F93" w:rsidRDefault="00CC3B1A" w:rsidP="00F14EDD">
      <w:pPr>
        <w:pStyle w:val="ListParagraph"/>
        <w:numPr>
          <w:ilvl w:val="0"/>
          <w:numId w:val="33"/>
        </w:numPr>
      </w:pPr>
      <w:r>
        <w:lastRenderedPageBreak/>
        <w:t xml:space="preserve">45 C.F.R. </w:t>
      </w:r>
      <w:r w:rsidRPr="00BF053A">
        <w:t>§ 164.5</w:t>
      </w:r>
      <w:r>
        <w:t>12</w:t>
      </w:r>
      <w:r w:rsidR="00C62F93">
        <w:t>(c</w:t>
      </w:r>
      <w:r>
        <w:t>) – To report suspected abuse, neglect</w:t>
      </w:r>
      <w:r w:rsidR="000D7E3F">
        <w:t>,</w:t>
      </w:r>
      <w:r w:rsidRPr="00CC3B1A">
        <w:t xml:space="preserve"> </w:t>
      </w:r>
      <w:r>
        <w:t>or domestic violence in limited circumstances</w:t>
      </w:r>
    </w:p>
    <w:p w14:paraId="60C2AE07" w14:textId="383EE5D8" w:rsidR="00C62F93" w:rsidRDefault="00CC3B1A" w:rsidP="00F14EDD">
      <w:pPr>
        <w:pStyle w:val="ListParagraph"/>
        <w:numPr>
          <w:ilvl w:val="0"/>
          <w:numId w:val="33"/>
        </w:numPr>
      </w:pPr>
      <w:r>
        <w:t xml:space="preserve">45 C.F.R. </w:t>
      </w:r>
      <w:r w:rsidRPr="00BF053A">
        <w:t>§ 164.5</w:t>
      </w:r>
      <w:r>
        <w:t>12</w:t>
      </w:r>
      <w:r w:rsidR="00C62F93">
        <w:t>(d)</w:t>
      </w:r>
      <w:r>
        <w:t xml:space="preserve"> – To a health oversight agency for health oversight purposes</w:t>
      </w:r>
    </w:p>
    <w:p w14:paraId="108F16CF" w14:textId="600467BC" w:rsidR="00C62F93" w:rsidRDefault="00CC3B1A" w:rsidP="00F14EDD">
      <w:pPr>
        <w:pStyle w:val="ListParagraph"/>
        <w:numPr>
          <w:ilvl w:val="0"/>
          <w:numId w:val="33"/>
        </w:numPr>
      </w:pPr>
      <w:r>
        <w:t xml:space="preserve">45 C.F.R. </w:t>
      </w:r>
      <w:r w:rsidRPr="00BF053A">
        <w:t>§ 164.5</w:t>
      </w:r>
      <w:r>
        <w:t xml:space="preserve">12 </w:t>
      </w:r>
      <w:r w:rsidR="00C62F93">
        <w:t>(e)</w:t>
      </w:r>
      <w:r>
        <w:t xml:space="preserve"> – In response to a judicial or administrative order, subpoena, etc.</w:t>
      </w:r>
    </w:p>
    <w:p w14:paraId="76C3F97A" w14:textId="240C7017" w:rsidR="00EA10CB" w:rsidRDefault="00EA10CB" w:rsidP="00F14EDD">
      <w:pPr>
        <w:pStyle w:val="ListParagraph"/>
        <w:numPr>
          <w:ilvl w:val="0"/>
          <w:numId w:val="33"/>
        </w:numPr>
      </w:pPr>
      <w:r>
        <w:t xml:space="preserve">45 C.F.R. </w:t>
      </w:r>
      <w:r w:rsidRPr="00BF053A">
        <w:t>§ 164.5</w:t>
      </w:r>
      <w:r>
        <w:t xml:space="preserve">12(f) – To law enforcement for limited purposes </w:t>
      </w:r>
      <w:r w:rsidR="00C62F93">
        <w:t>(e.g.</w:t>
      </w:r>
      <w:r w:rsidR="000D7E3F">
        <w:t>,</w:t>
      </w:r>
      <w:r w:rsidR="00C62F93">
        <w:t xml:space="preserve"> reporting a crime on site)</w:t>
      </w:r>
    </w:p>
    <w:p w14:paraId="53036F8A" w14:textId="0C34DF33" w:rsidR="00C62F93" w:rsidRDefault="00CC3B1A" w:rsidP="00CC3B1A">
      <w:pPr>
        <w:pStyle w:val="ListParagraph"/>
        <w:numPr>
          <w:ilvl w:val="0"/>
          <w:numId w:val="33"/>
        </w:numPr>
      </w:pPr>
      <w:r>
        <w:t xml:space="preserve">45 C.F.R. </w:t>
      </w:r>
      <w:r w:rsidRPr="00BF053A">
        <w:t>§ 164.5</w:t>
      </w:r>
      <w:r>
        <w:t xml:space="preserve">12 </w:t>
      </w:r>
      <w:r w:rsidR="00C62F93">
        <w:t>(g)(h)</w:t>
      </w:r>
      <w:r>
        <w:t xml:space="preserve"> – To coroners, medical examiners, funeral directors, and organ procurement agencies to enable their legally authorized duties</w:t>
      </w:r>
    </w:p>
    <w:p w14:paraId="68C1950F" w14:textId="67EBECE8" w:rsidR="00CC3B1A" w:rsidRDefault="00CC3B1A">
      <w:pPr>
        <w:pStyle w:val="ListParagraph"/>
        <w:numPr>
          <w:ilvl w:val="0"/>
          <w:numId w:val="33"/>
        </w:numPr>
      </w:pPr>
      <w:r>
        <w:t xml:space="preserve">45 C.F.R. </w:t>
      </w:r>
      <w:r w:rsidRPr="00BF053A">
        <w:t>§ 164.5</w:t>
      </w:r>
      <w:r>
        <w:t>12(i) – For research purposes subject to restrictions</w:t>
      </w:r>
    </w:p>
    <w:p w14:paraId="6CCA2A15" w14:textId="45ED6AC8" w:rsidR="00C62F93" w:rsidRDefault="00C62F93" w:rsidP="00F14EDD">
      <w:pPr>
        <w:pStyle w:val="ListParagraph"/>
        <w:numPr>
          <w:ilvl w:val="0"/>
          <w:numId w:val="33"/>
        </w:numPr>
      </w:pPr>
      <w:r>
        <w:t xml:space="preserve">45 C.F.R. </w:t>
      </w:r>
      <w:r w:rsidRPr="00BF053A">
        <w:t>§ 164.5</w:t>
      </w:r>
      <w:r>
        <w:t>12(j) – To a person reasonably able to prevent a serious and imminent threat to the health or safety of a person or the public</w:t>
      </w:r>
    </w:p>
    <w:p w14:paraId="423135A7" w14:textId="63636DE2" w:rsidR="00EA10CB" w:rsidRDefault="00EA10CB" w:rsidP="00F14EDD">
      <w:pPr>
        <w:pStyle w:val="ListParagraph"/>
        <w:numPr>
          <w:ilvl w:val="0"/>
          <w:numId w:val="33"/>
        </w:numPr>
      </w:pPr>
      <w:r>
        <w:t xml:space="preserve">45 C.F.R. </w:t>
      </w:r>
      <w:r w:rsidRPr="00BF053A">
        <w:t>§ 164.5</w:t>
      </w:r>
      <w:r>
        <w:t>12(k) – For specialized government functions (e.g.</w:t>
      </w:r>
      <w:r w:rsidR="000D7E3F">
        <w:t>,</w:t>
      </w:r>
      <w:r>
        <w:t xml:space="preserve"> national security)</w:t>
      </w:r>
    </w:p>
    <w:p w14:paraId="7874DFD5" w14:textId="787B6671" w:rsidR="008F2432" w:rsidRPr="005A1638" w:rsidRDefault="004671E0" w:rsidP="005A1638">
      <w:pPr>
        <w:pStyle w:val="ListParagraph"/>
        <w:numPr>
          <w:ilvl w:val="0"/>
          <w:numId w:val="33"/>
        </w:numPr>
      </w:pPr>
      <w:r>
        <w:t xml:space="preserve">45 C.F.R. </w:t>
      </w:r>
      <w:r w:rsidRPr="00BF053A">
        <w:t>§ 164.5</w:t>
      </w:r>
      <w:r>
        <w:t>12(l) – To an organization responsible for providing worker’s compensation benefits</w:t>
      </w:r>
    </w:p>
    <w:p w14:paraId="05AB887C" w14:textId="3DBB037B" w:rsidR="00FA2DC2" w:rsidRPr="00243CDF" w:rsidRDefault="00FA2DC2" w:rsidP="00FA2DC2">
      <w:pPr>
        <w:rPr>
          <w:rFonts w:ascii="Calibri" w:eastAsia="Calibri" w:hAnsi="Calibri" w:cs="Calibri"/>
        </w:rPr>
      </w:pPr>
      <w:r>
        <w:rPr>
          <w:rFonts w:ascii="Calibri" w:eastAsia="Calibri" w:hAnsi="Calibri" w:cs="Calibri"/>
        </w:rPr>
        <w:t xml:space="preserve">Please reference </w:t>
      </w:r>
      <w:hyperlink r:id="rId11" w:history="1">
        <w:r w:rsidR="009468A3" w:rsidRPr="009468A3">
          <w:rPr>
            <w:rStyle w:val="Hyperlink"/>
            <w:rFonts w:ascii="Calibri" w:eastAsia="Calibri" w:hAnsi="Calibri" w:cs="Calibri"/>
          </w:rPr>
          <w:t>The Nationwide Privacy and Security Framework for Electronic Exchange of Individually Identifiable Health Information</w:t>
        </w:r>
      </w:hyperlink>
      <w:r w:rsidRPr="00173CCB">
        <w:rPr>
          <w:rFonts w:ascii="Calibri" w:eastAsia="Calibri" w:hAnsi="Calibri" w:cs="Calibri"/>
        </w:rPr>
        <w:t xml:space="preserve"> (the Privacy and Security Framework), the </w:t>
      </w:r>
      <w:hyperlink r:id="rId12" w:history="1">
        <w:r w:rsidRPr="009468A3">
          <w:rPr>
            <w:rStyle w:val="Hyperlink"/>
            <w:rFonts w:ascii="Calibri" w:eastAsia="Calibri" w:hAnsi="Calibri" w:cs="Calibri"/>
          </w:rPr>
          <w:t>HIPAA Omnibus Rule</w:t>
        </w:r>
      </w:hyperlink>
      <w:r w:rsidRPr="00173CCB">
        <w:rPr>
          <w:rFonts w:ascii="Calibri" w:eastAsia="Calibri" w:hAnsi="Calibri" w:cs="Calibri"/>
        </w:rPr>
        <w:t xml:space="preserve">, and the </w:t>
      </w:r>
      <w:hyperlink r:id="rId13" w:history="1">
        <w:r w:rsidRPr="009468A3">
          <w:rPr>
            <w:rStyle w:val="Hyperlink"/>
            <w:rFonts w:ascii="Calibri" w:eastAsia="Calibri" w:hAnsi="Calibri" w:cs="Calibri"/>
          </w:rPr>
          <w:t>Health Information Technology for Economic and Clinical Health Act (HITECH)</w:t>
        </w:r>
      </w:hyperlink>
      <w:r w:rsidRPr="00173CCB">
        <w:rPr>
          <w:rFonts w:ascii="Calibri" w:eastAsia="Calibri" w:hAnsi="Calibri" w:cs="Calibri"/>
        </w:rPr>
        <w:t xml:space="preserve"> for additional infor</w:t>
      </w:r>
      <w:r>
        <w:rPr>
          <w:rFonts w:ascii="Calibri" w:eastAsia="Calibri" w:hAnsi="Calibri" w:cs="Calibri"/>
        </w:rPr>
        <w:t xml:space="preserve">mation regarding </w:t>
      </w:r>
      <w:r w:rsidR="0006644E">
        <w:rPr>
          <w:rFonts w:ascii="Calibri" w:eastAsia="Calibri" w:hAnsi="Calibri" w:cs="Calibri"/>
        </w:rPr>
        <w:t xml:space="preserve">exceptions and exclusions for </w:t>
      </w:r>
      <w:r>
        <w:rPr>
          <w:rFonts w:ascii="Calibri" w:eastAsia="Calibri" w:hAnsi="Calibri" w:cs="Calibri"/>
        </w:rPr>
        <w:t xml:space="preserve">PHI and HIEs. </w:t>
      </w:r>
    </w:p>
    <w:p w14:paraId="09E185C5" w14:textId="3611EF3F" w:rsidR="00B70CEC" w:rsidRDefault="00B70CEC" w:rsidP="00B70CEC">
      <w:pPr>
        <w:pStyle w:val="Heading1"/>
        <w:rPr>
          <w:rFonts w:eastAsia="Calibri"/>
          <w:shd w:val="clear" w:color="auto" w:fill="FFFFFF"/>
        </w:rPr>
      </w:pPr>
      <w:bookmarkStart w:id="7" w:name="_Toc9404318"/>
      <w:r w:rsidRPr="00B70CEC">
        <w:rPr>
          <w:rFonts w:eastAsia="Calibri"/>
          <w:shd w:val="clear" w:color="auto" w:fill="FFFFFF"/>
        </w:rPr>
        <w:t xml:space="preserve">Security </w:t>
      </w:r>
      <w:r w:rsidR="00F268CD">
        <w:rPr>
          <w:rFonts w:eastAsia="Calibri"/>
          <w:shd w:val="clear" w:color="auto" w:fill="FFFFFF"/>
        </w:rPr>
        <w:t xml:space="preserve">Rule </w:t>
      </w:r>
      <w:r w:rsidR="002F7E8F">
        <w:rPr>
          <w:rFonts w:eastAsia="Calibri"/>
          <w:shd w:val="clear" w:color="auto" w:fill="FFFFFF"/>
        </w:rPr>
        <w:t>R</w:t>
      </w:r>
      <w:r w:rsidRPr="00B70CEC">
        <w:rPr>
          <w:rFonts w:eastAsia="Calibri"/>
          <w:shd w:val="clear" w:color="auto" w:fill="FFFFFF"/>
        </w:rPr>
        <w:t xml:space="preserve">equirements </w:t>
      </w:r>
      <w:r w:rsidR="00A37D58">
        <w:rPr>
          <w:rFonts w:eastAsia="Calibri"/>
          <w:shd w:val="clear" w:color="auto" w:fill="FFFFFF"/>
        </w:rPr>
        <w:t>o</w:t>
      </w:r>
      <w:r w:rsidRPr="00B70CEC">
        <w:rPr>
          <w:rFonts w:eastAsia="Calibri"/>
          <w:shd w:val="clear" w:color="auto" w:fill="FFFFFF"/>
        </w:rPr>
        <w:t>f HIPAA</w:t>
      </w:r>
      <w:bookmarkEnd w:id="7"/>
    </w:p>
    <w:p w14:paraId="7CDB1B91" w14:textId="5757FDE3" w:rsidR="00B70CEC" w:rsidRDefault="00B70CEC" w:rsidP="00B70CEC">
      <w:pPr>
        <w:rPr>
          <w:rFonts w:cstheme="minorHAnsi"/>
          <w:color w:val="000000"/>
        </w:rPr>
      </w:pPr>
      <w:r>
        <w:rPr>
          <w:rFonts w:ascii="Calibri" w:eastAsia="Calibri" w:hAnsi="Calibri" w:cs="Calibri"/>
        </w:rPr>
        <w:t xml:space="preserve">FHA’s mission is to support the federal agencies and their public sector exchange partners and navigate the various standards and policies, like those mentioned above, so that health information systems are </w:t>
      </w:r>
      <w:r w:rsidR="00841B9E">
        <w:rPr>
          <w:rFonts w:ascii="Calibri" w:eastAsia="Calibri" w:hAnsi="Calibri" w:cs="Calibri"/>
        </w:rPr>
        <w:t xml:space="preserve">securely </w:t>
      </w:r>
      <w:r>
        <w:rPr>
          <w:rFonts w:ascii="Calibri" w:eastAsia="Calibri" w:hAnsi="Calibri" w:cs="Calibri"/>
        </w:rPr>
        <w:t>interoperable and patient information can be</w:t>
      </w:r>
      <w:r w:rsidR="00841B9E">
        <w:rPr>
          <w:rFonts w:ascii="Calibri" w:eastAsia="Calibri" w:hAnsi="Calibri" w:cs="Calibri"/>
        </w:rPr>
        <w:t xml:space="preserve"> securely</w:t>
      </w:r>
      <w:r>
        <w:rPr>
          <w:rFonts w:ascii="Calibri" w:eastAsia="Calibri" w:hAnsi="Calibri" w:cs="Calibri"/>
        </w:rPr>
        <w:t xml:space="preserve"> sent, received, interpreted, and operationalized. </w:t>
      </w:r>
      <w:r w:rsidRPr="00243CDF">
        <w:rPr>
          <w:rFonts w:cstheme="minorHAnsi"/>
          <w:color w:val="000000"/>
        </w:rPr>
        <w:t>FHA leads its federal partners and other healthcare stakeholders in the development of innovative</w:t>
      </w:r>
      <w:r>
        <w:rPr>
          <w:rFonts w:cstheme="minorHAnsi"/>
          <w:color w:val="000000"/>
        </w:rPr>
        <w:t xml:space="preserve"> HIE</w:t>
      </w:r>
      <w:r w:rsidRPr="00243CDF">
        <w:rPr>
          <w:rFonts w:cstheme="minorHAnsi"/>
          <w:color w:val="000000"/>
        </w:rPr>
        <w:t xml:space="preserve"> architectures for the sharing of EHRs on a nationwide </w:t>
      </w:r>
      <w:r>
        <w:rPr>
          <w:rFonts w:cstheme="minorHAnsi"/>
          <w:color w:val="000000"/>
        </w:rPr>
        <w:t xml:space="preserve">and regional </w:t>
      </w:r>
      <w:r w:rsidRPr="00243CDF">
        <w:rPr>
          <w:rFonts w:cstheme="minorHAnsi"/>
          <w:color w:val="000000"/>
        </w:rPr>
        <w:t xml:space="preserve">basis. This </w:t>
      </w:r>
      <w:r>
        <w:rPr>
          <w:rFonts w:cstheme="minorHAnsi"/>
          <w:color w:val="000000"/>
        </w:rPr>
        <w:t xml:space="preserve">huge </w:t>
      </w:r>
      <w:r w:rsidRPr="00243CDF">
        <w:rPr>
          <w:rFonts w:cstheme="minorHAnsi"/>
          <w:color w:val="000000"/>
        </w:rPr>
        <w:t xml:space="preserve">effort requires careful planning, analysis, and coordination of an extensive number of agency business requirements, healthcare delivery requirements, subject matter research, public policy, relevant technologies, </w:t>
      </w:r>
      <w:r>
        <w:rPr>
          <w:rFonts w:cstheme="minorHAnsi"/>
          <w:color w:val="000000"/>
        </w:rPr>
        <w:t xml:space="preserve">and </w:t>
      </w:r>
      <w:r w:rsidRPr="00243CDF">
        <w:rPr>
          <w:rFonts w:cstheme="minorHAnsi"/>
          <w:color w:val="000000"/>
        </w:rPr>
        <w:t>enterprise systems and devices for the sharing of healthcare information including data security, patient consent, clinical informatics, interoperability standards, and accurate healthcare provider and payer data.</w:t>
      </w:r>
    </w:p>
    <w:p w14:paraId="42D4CF35" w14:textId="6931479D" w:rsidR="00F352C7" w:rsidRPr="00583887" w:rsidRDefault="00F352C7">
      <w:pPr>
        <w:pStyle w:val="Heading2"/>
      </w:pPr>
      <w:bookmarkStart w:id="8" w:name="_Toc9404319"/>
      <w:r w:rsidRPr="00583887">
        <w:t xml:space="preserve">Evolution of </w:t>
      </w:r>
      <w:r w:rsidRPr="003E1C82">
        <w:t>Security</w:t>
      </w:r>
      <w:r w:rsidRPr="00583887">
        <w:t xml:space="preserve"> and Privacy Protections</w:t>
      </w:r>
      <w:bookmarkEnd w:id="8"/>
      <w:r w:rsidR="007E28EA">
        <w:t xml:space="preserve"> </w:t>
      </w:r>
    </w:p>
    <w:p w14:paraId="5B5D5921" w14:textId="2BE717BE" w:rsidR="000123E0" w:rsidRPr="003E1C82" w:rsidRDefault="00F352C7" w:rsidP="00F352C7">
      <w:pPr>
        <w:rPr>
          <w:rFonts w:cstheme="minorHAnsi"/>
        </w:rPr>
      </w:pPr>
      <w:r w:rsidRPr="003E1C82">
        <w:rPr>
          <w:rFonts w:cstheme="minorHAnsi"/>
        </w:rPr>
        <w:t xml:space="preserve">Since HIPAA was </w:t>
      </w:r>
      <w:r w:rsidR="007E28EA" w:rsidRPr="003E1C82">
        <w:rPr>
          <w:rFonts w:cstheme="minorHAnsi"/>
        </w:rPr>
        <w:t xml:space="preserve">first </w:t>
      </w:r>
      <w:r w:rsidRPr="003E1C82">
        <w:rPr>
          <w:rFonts w:cstheme="minorHAnsi"/>
        </w:rPr>
        <w:t>introduced</w:t>
      </w:r>
      <w:r w:rsidR="002F7E8F">
        <w:rPr>
          <w:rFonts w:cstheme="minorHAnsi"/>
        </w:rPr>
        <w:t>,</w:t>
      </w:r>
      <w:r w:rsidRPr="003E1C82">
        <w:rPr>
          <w:rFonts w:cstheme="minorHAnsi"/>
        </w:rPr>
        <w:t xml:space="preserve"> several laws, regulations</w:t>
      </w:r>
      <w:r w:rsidR="002F7E8F">
        <w:rPr>
          <w:rFonts w:cstheme="minorHAnsi"/>
        </w:rPr>
        <w:t>,</w:t>
      </w:r>
      <w:r w:rsidR="000123E0" w:rsidRPr="003E1C82">
        <w:rPr>
          <w:rFonts w:cstheme="minorHAnsi"/>
        </w:rPr>
        <w:t xml:space="preserve"> and </w:t>
      </w:r>
      <w:r w:rsidRPr="003E1C82">
        <w:rPr>
          <w:rFonts w:cstheme="minorHAnsi"/>
        </w:rPr>
        <w:t xml:space="preserve">polices have been developed to ensure that information exchange between healthcare participants (providers, HIEs, organizations, etc.) </w:t>
      </w:r>
      <w:r w:rsidR="002F7E8F">
        <w:rPr>
          <w:rFonts w:cstheme="minorHAnsi"/>
        </w:rPr>
        <w:t xml:space="preserve">complies with HIPAA </w:t>
      </w:r>
      <w:r w:rsidR="000123E0" w:rsidRPr="003E1C82">
        <w:rPr>
          <w:rFonts w:cstheme="minorHAnsi"/>
        </w:rPr>
        <w:t>as well as new or updated standards and guidance</w:t>
      </w:r>
      <w:r w:rsidRPr="003E1C82">
        <w:rPr>
          <w:rFonts w:cstheme="minorHAnsi"/>
        </w:rPr>
        <w:t xml:space="preserve">. </w:t>
      </w:r>
      <w:r w:rsidR="00A03269" w:rsidRPr="003E1C82">
        <w:rPr>
          <w:rFonts w:cstheme="minorHAnsi"/>
        </w:rPr>
        <w:t>These include:</w:t>
      </w:r>
    </w:p>
    <w:p w14:paraId="1691B5EB" w14:textId="5B868F84" w:rsidR="00A03269" w:rsidRPr="003E1C82" w:rsidRDefault="00A03269" w:rsidP="003E1C82">
      <w:pPr>
        <w:pStyle w:val="ListParagraph"/>
        <w:numPr>
          <w:ilvl w:val="0"/>
          <w:numId w:val="28"/>
        </w:numPr>
        <w:rPr>
          <w:rFonts w:cstheme="minorHAnsi"/>
        </w:rPr>
      </w:pPr>
      <w:r w:rsidRPr="003E1C82">
        <w:rPr>
          <w:rFonts w:cstheme="minorHAnsi"/>
        </w:rPr>
        <w:t>HITEC</w:t>
      </w:r>
      <w:r w:rsidR="002F7E8F">
        <w:rPr>
          <w:rFonts w:cstheme="minorHAnsi"/>
        </w:rPr>
        <w:t>H</w:t>
      </w:r>
      <w:r w:rsidRPr="003E1C82">
        <w:rPr>
          <w:rFonts w:cstheme="minorHAnsi"/>
        </w:rPr>
        <w:t xml:space="preserve"> (ARRA) – Health Information Technology for Economic and Clinical Health</w:t>
      </w:r>
    </w:p>
    <w:p w14:paraId="0F5F5FD0" w14:textId="77777777" w:rsidR="00BC3BD6" w:rsidRPr="003E1C82" w:rsidRDefault="00BC3BD6" w:rsidP="003E1C82">
      <w:pPr>
        <w:pStyle w:val="ListParagraph"/>
        <w:numPr>
          <w:ilvl w:val="0"/>
          <w:numId w:val="28"/>
        </w:numPr>
        <w:rPr>
          <w:rFonts w:cstheme="minorHAnsi"/>
        </w:rPr>
      </w:pPr>
      <w:bookmarkStart w:id="9" w:name="_Hlk523834068"/>
      <w:r w:rsidRPr="003E1C82">
        <w:rPr>
          <w:rFonts w:cstheme="minorHAnsi"/>
        </w:rPr>
        <w:t xml:space="preserve">DoDI 8582.01 – Security of </w:t>
      </w:r>
      <w:bookmarkEnd w:id="9"/>
      <w:r w:rsidRPr="003E1C82">
        <w:rPr>
          <w:rFonts w:cstheme="minorHAnsi"/>
        </w:rPr>
        <w:t>Unclassified DoD Information on Non-DoD Information Systems</w:t>
      </w:r>
    </w:p>
    <w:p w14:paraId="64ECE695" w14:textId="33855EC4" w:rsidR="00BC3BD6" w:rsidRPr="003E1C82" w:rsidRDefault="00BC3BD6" w:rsidP="003E1C82">
      <w:pPr>
        <w:pStyle w:val="ListParagraph"/>
        <w:numPr>
          <w:ilvl w:val="0"/>
          <w:numId w:val="28"/>
        </w:numPr>
        <w:rPr>
          <w:rFonts w:cstheme="minorHAnsi"/>
        </w:rPr>
      </w:pPr>
      <w:r w:rsidRPr="003E1C82">
        <w:rPr>
          <w:rFonts w:cstheme="minorHAnsi"/>
        </w:rPr>
        <w:t>DoDI 8580.02 – Security of Individually Identifiable Health Information in DoD Health Care Programs</w:t>
      </w:r>
    </w:p>
    <w:p w14:paraId="1E91547B" w14:textId="55282472" w:rsidR="00BC3BD6" w:rsidRPr="003E1C82" w:rsidRDefault="00BC3BD6" w:rsidP="003E1C82">
      <w:pPr>
        <w:pStyle w:val="ListParagraph"/>
        <w:numPr>
          <w:ilvl w:val="0"/>
          <w:numId w:val="28"/>
        </w:numPr>
        <w:rPr>
          <w:rFonts w:cstheme="minorHAnsi"/>
        </w:rPr>
      </w:pPr>
      <w:r w:rsidRPr="003E1C82">
        <w:rPr>
          <w:rFonts w:cstheme="minorHAnsi"/>
        </w:rPr>
        <w:t>VHA Directive 1605.01 – Privacy and Release of Information</w:t>
      </w:r>
    </w:p>
    <w:p w14:paraId="000B1B62" w14:textId="50D23105" w:rsidR="00BC3BD6" w:rsidRPr="003E1C82" w:rsidRDefault="00BC3BD6" w:rsidP="003E1C82">
      <w:pPr>
        <w:pStyle w:val="ListParagraph"/>
        <w:numPr>
          <w:ilvl w:val="0"/>
          <w:numId w:val="28"/>
        </w:numPr>
        <w:rPr>
          <w:rFonts w:cstheme="minorHAnsi"/>
        </w:rPr>
      </w:pPr>
      <w:r w:rsidRPr="003E1C82">
        <w:rPr>
          <w:rFonts w:cstheme="minorHAnsi"/>
        </w:rPr>
        <w:t>DHA AI 077 – Security Categorization (SC) and Control Selection for Information Technology (IT)</w:t>
      </w:r>
    </w:p>
    <w:p w14:paraId="2AAF684E" w14:textId="56B0586C" w:rsidR="00BC3BD6" w:rsidRPr="003E1C82" w:rsidRDefault="00BC3BD6" w:rsidP="003E1C82">
      <w:pPr>
        <w:pStyle w:val="ListParagraph"/>
        <w:numPr>
          <w:ilvl w:val="0"/>
          <w:numId w:val="28"/>
        </w:numPr>
        <w:rPr>
          <w:rFonts w:cstheme="minorHAnsi"/>
        </w:rPr>
      </w:pPr>
      <w:r w:rsidRPr="003E1C82">
        <w:rPr>
          <w:rFonts w:cstheme="minorHAnsi"/>
        </w:rPr>
        <w:t>S.2184 – Veterans Community Care and Access Act of 2017</w:t>
      </w:r>
    </w:p>
    <w:p w14:paraId="463D135B" w14:textId="1EDA49E9" w:rsidR="00BC3BD6" w:rsidRPr="003E1C82" w:rsidRDefault="00BC3BD6" w:rsidP="003E1C82">
      <w:pPr>
        <w:pStyle w:val="ListParagraph"/>
        <w:numPr>
          <w:ilvl w:val="0"/>
          <w:numId w:val="28"/>
        </w:numPr>
        <w:rPr>
          <w:rFonts w:cstheme="minorHAnsi"/>
        </w:rPr>
      </w:pPr>
      <w:r w:rsidRPr="003E1C82">
        <w:rPr>
          <w:rFonts w:cstheme="minorHAnsi"/>
        </w:rPr>
        <w:t>S.2193 – Caring for our Veterans Act of 2017</w:t>
      </w:r>
    </w:p>
    <w:p w14:paraId="375235C7" w14:textId="71E6C320" w:rsidR="00BC3BD6" w:rsidRPr="003E1C82" w:rsidRDefault="00BC3BD6" w:rsidP="003E1C82">
      <w:pPr>
        <w:pStyle w:val="ListParagraph"/>
        <w:numPr>
          <w:ilvl w:val="0"/>
          <w:numId w:val="28"/>
        </w:numPr>
        <w:rPr>
          <w:rFonts w:cstheme="minorHAnsi"/>
        </w:rPr>
      </w:pPr>
      <w:r w:rsidRPr="003E1C82">
        <w:rPr>
          <w:rFonts w:cstheme="minorHAnsi"/>
        </w:rPr>
        <w:lastRenderedPageBreak/>
        <w:t>H</w:t>
      </w:r>
      <w:r w:rsidR="006D087F">
        <w:rPr>
          <w:rFonts w:cstheme="minorHAnsi"/>
        </w:rPr>
        <w:t>R</w:t>
      </w:r>
      <w:r w:rsidRPr="003E1C82">
        <w:rPr>
          <w:rFonts w:cstheme="minorHAnsi"/>
        </w:rPr>
        <w:t xml:space="preserve"> 4242 – VA Care in the Community Act (Section 202)</w:t>
      </w:r>
    </w:p>
    <w:p w14:paraId="08F9F72F" w14:textId="2F72E34B" w:rsidR="001A32A8" w:rsidRPr="003E1C82" w:rsidRDefault="001A32A8" w:rsidP="003E1C82">
      <w:pPr>
        <w:pStyle w:val="ListParagraph"/>
        <w:numPr>
          <w:ilvl w:val="0"/>
          <w:numId w:val="28"/>
        </w:numPr>
        <w:rPr>
          <w:rFonts w:cstheme="minorHAnsi"/>
        </w:rPr>
      </w:pPr>
      <w:r w:rsidRPr="003E1C82">
        <w:rPr>
          <w:rFonts w:cstheme="minorHAnsi"/>
        </w:rPr>
        <w:t xml:space="preserve">NPRM: CFR Title 42: Part 2 – Confidentiality of </w:t>
      </w:r>
      <w:r w:rsidR="006D087F" w:rsidRPr="00F84414">
        <w:rPr>
          <w:rFonts w:cstheme="minorHAnsi"/>
        </w:rPr>
        <w:t>Alcohol</w:t>
      </w:r>
      <w:r w:rsidRPr="003E1C82">
        <w:rPr>
          <w:rFonts w:cstheme="minorHAnsi"/>
        </w:rPr>
        <w:t xml:space="preserve"> and Drug Abuse Patient Records</w:t>
      </w:r>
    </w:p>
    <w:p w14:paraId="532F2723" w14:textId="782B01E3" w:rsidR="001A32A8" w:rsidRPr="003E1C82" w:rsidRDefault="001A32A8" w:rsidP="003E1C82">
      <w:pPr>
        <w:pStyle w:val="ListParagraph"/>
        <w:numPr>
          <w:ilvl w:val="0"/>
          <w:numId w:val="28"/>
        </w:numPr>
        <w:rPr>
          <w:rFonts w:cstheme="minorHAnsi"/>
        </w:rPr>
      </w:pPr>
      <w:r w:rsidRPr="003E1C82">
        <w:rPr>
          <w:rFonts w:cstheme="minorHAnsi"/>
        </w:rPr>
        <w:t>SAMSHA – Applying the Substance Abuse Confidentiality Regulation</w:t>
      </w:r>
    </w:p>
    <w:p w14:paraId="791DFEEA" w14:textId="543C9D55" w:rsidR="00F352C7" w:rsidRPr="003E1C82" w:rsidRDefault="00021CA6" w:rsidP="00F352C7">
      <w:pPr>
        <w:rPr>
          <w:rFonts w:cstheme="minorHAnsi"/>
        </w:rPr>
      </w:pPr>
      <w:r w:rsidRPr="003E1C82">
        <w:rPr>
          <w:rFonts w:cstheme="minorHAnsi"/>
        </w:rPr>
        <w:t>In 2002</w:t>
      </w:r>
      <w:r w:rsidR="002F7E8F">
        <w:rPr>
          <w:rFonts w:cstheme="minorHAnsi"/>
        </w:rPr>
        <w:t>,</w:t>
      </w:r>
      <w:r w:rsidRPr="003E1C82">
        <w:rPr>
          <w:rFonts w:cstheme="minorHAnsi"/>
        </w:rPr>
        <w:t xml:space="preserve"> the federal government took matters of protecting information a step further when t</w:t>
      </w:r>
      <w:r w:rsidR="000123E0" w:rsidRPr="003E1C82">
        <w:rPr>
          <w:rFonts w:cstheme="minorHAnsi"/>
        </w:rPr>
        <w:t xml:space="preserve">he Office of Management and Budget (OMB) </w:t>
      </w:r>
      <w:r w:rsidRPr="003E1C82">
        <w:rPr>
          <w:rFonts w:cstheme="minorHAnsi"/>
        </w:rPr>
        <w:t xml:space="preserve">introduced </w:t>
      </w:r>
      <w:r w:rsidR="00F352C7" w:rsidRPr="003E1C82">
        <w:rPr>
          <w:rFonts w:cstheme="minorHAnsi"/>
        </w:rPr>
        <w:t xml:space="preserve">the Federal Information Security Management Act (FISMA) </w:t>
      </w:r>
      <w:r w:rsidRPr="003E1C82">
        <w:rPr>
          <w:rFonts w:cstheme="minorHAnsi"/>
        </w:rPr>
        <w:t>that applied to</w:t>
      </w:r>
      <w:r w:rsidR="002F7E8F">
        <w:rPr>
          <w:rFonts w:cstheme="minorHAnsi"/>
        </w:rPr>
        <w:t xml:space="preserve"> all</w:t>
      </w:r>
      <w:r w:rsidRPr="003E1C82">
        <w:rPr>
          <w:rFonts w:cstheme="minorHAnsi"/>
        </w:rPr>
        <w:t xml:space="preserve"> federal information, </w:t>
      </w:r>
      <w:r w:rsidR="002F7E8F">
        <w:rPr>
          <w:rFonts w:cstheme="minorHAnsi"/>
        </w:rPr>
        <w:t xml:space="preserve">including </w:t>
      </w:r>
      <w:r w:rsidRPr="003E1C82">
        <w:rPr>
          <w:rFonts w:cstheme="minorHAnsi"/>
        </w:rPr>
        <w:t xml:space="preserve">healthcare </w:t>
      </w:r>
      <w:r w:rsidR="007E28EA" w:rsidRPr="003E1C82">
        <w:rPr>
          <w:rFonts w:cstheme="minorHAnsi"/>
        </w:rPr>
        <w:t>information.</w:t>
      </w:r>
    </w:p>
    <w:p w14:paraId="71F4EA05" w14:textId="0BE119BD" w:rsidR="00F352C7" w:rsidRPr="00583887" w:rsidRDefault="00A53C6F" w:rsidP="003E1C82">
      <w:pPr>
        <w:pStyle w:val="Heading2"/>
      </w:pPr>
      <w:bookmarkStart w:id="10" w:name="_Toc9404320"/>
      <w:r w:rsidRPr="00583887">
        <w:t xml:space="preserve">The </w:t>
      </w:r>
      <w:r w:rsidR="001C4A39" w:rsidRPr="00583887">
        <w:t>Federal Information Security Management Act</w:t>
      </w:r>
      <w:r w:rsidR="00F352C7" w:rsidRPr="00583887">
        <w:t xml:space="preserve"> (FISMA)</w:t>
      </w:r>
      <w:bookmarkEnd w:id="10"/>
      <w:r w:rsidR="001C4A39" w:rsidRPr="00583887">
        <w:t> </w:t>
      </w:r>
    </w:p>
    <w:p w14:paraId="38B89E2C" w14:textId="490F66CC" w:rsidR="005F79BF" w:rsidRPr="003E1C82" w:rsidRDefault="00021CA6" w:rsidP="00F352C7">
      <w:pPr>
        <w:rPr>
          <w:rFonts w:eastAsiaTheme="majorEastAsia"/>
        </w:rPr>
      </w:pPr>
      <w:r w:rsidRPr="003E1C82">
        <w:t xml:space="preserve">Updated in 2014, </w:t>
      </w:r>
      <w:r w:rsidR="00F352C7" w:rsidRPr="003E1C82">
        <w:t xml:space="preserve">FISMA </w:t>
      </w:r>
      <w:r w:rsidR="001C4A39" w:rsidRPr="003E1C82">
        <w:rPr>
          <w:rFonts w:eastAsiaTheme="majorEastAsia"/>
        </w:rPr>
        <w:t>defines a comprehensive framework to protect government information, operations</w:t>
      </w:r>
      <w:r w:rsidR="002F7E8F">
        <w:rPr>
          <w:rFonts w:eastAsiaTheme="majorEastAsia"/>
        </w:rPr>
        <w:t>,</w:t>
      </w:r>
      <w:r w:rsidR="001C4A39" w:rsidRPr="003E1C82">
        <w:rPr>
          <w:rFonts w:eastAsiaTheme="majorEastAsia"/>
        </w:rPr>
        <w:t xml:space="preserve"> and assets against natural or man-made threats</w:t>
      </w:r>
      <w:r w:rsidR="00F352C7" w:rsidRPr="003E1C82">
        <w:rPr>
          <w:rFonts w:eastAsiaTheme="majorEastAsia"/>
        </w:rPr>
        <w:t>. All</w:t>
      </w:r>
      <w:r w:rsidR="001C4A39" w:rsidRPr="003E1C82">
        <w:rPr>
          <w:rFonts w:eastAsiaTheme="majorEastAsia"/>
        </w:rPr>
        <w:t xml:space="preserve"> agencies</w:t>
      </w:r>
      <w:r w:rsidR="001C4A39" w:rsidRPr="002F7E8F">
        <w:rPr>
          <w:rFonts w:eastAsiaTheme="majorEastAsia"/>
        </w:rPr>
        <w:t xml:space="preserve"> </w:t>
      </w:r>
      <w:r w:rsidR="001C4A39" w:rsidRPr="005A1638">
        <w:rPr>
          <w:rFonts w:eastAsiaTheme="majorEastAsia"/>
        </w:rPr>
        <w:t>must</w:t>
      </w:r>
      <w:r w:rsidR="001C4A39" w:rsidRPr="003E1C82">
        <w:rPr>
          <w:rFonts w:eastAsiaTheme="majorEastAsia"/>
        </w:rPr>
        <w:t xml:space="preserve"> be compliant with FISMA and report their compliance annually to </w:t>
      </w:r>
      <w:r w:rsidR="00F352C7" w:rsidRPr="003E1C82">
        <w:rPr>
          <w:rFonts w:eastAsiaTheme="majorEastAsia"/>
        </w:rPr>
        <w:t xml:space="preserve">the </w:t>
      </w:r>
      <w:r w:rsidR="001C4A39" w:rsidRPr="003E1C82">
        <w:rPr>
          <w:rFonts w:eastAsiaTheme="majorEastAsia"/>
        </w:rPr>
        <w:t>O</w:t>
      </w:r>
      <w:r w:rsidR="00F352C7" w:rsidRPr="003E1C82">
        <w:rPr>
          <w:rFonts w:eastAsiaTheme="majorEastAsia"/>
        </w:rPr>
        <w:t xml:space="preserve">ffice of </w:t>
      </w:r>
      <w:r w:rsidR="001C4A39" w:rsidRPr="003E1C82">
        <w:rPr>
          <w:rFonts w:eastAsiaTheme="majorEastAsia"/>
        </w:rPr>
        <w:t>M</w:t>
      </w:r>
      <w:r w:rsidR="00F352C7" w:rsidRPr="003E1C82">
        <w:rPr>
          <w:rFonts w:eastAsiaTheme="majorEastAsia"/>
        </w:rPr>
        <w:t xml:space="preserve">anagement and </w:t>
      </w:r>
      <w:r w:rsidR="001C4A39" w:rsidRPr="003E1C82">
        <w:rPr>
          <w:rFonts w:eastAsiaTheme="majorEastAsia"/>
        </w:rPr>
        <w:t>B</w:t>
      </w:r>
      <w:r w:rsidR="00F352C7" w:rsidRPr="003E1C82">
        <w:rPr>
          <w:rFonts w:eastAsiaTheme="majorEastAsia"/>
        </w:rPr>
        <w:t xml:space="preserve">udget. </w:t>
      </w:r>
      <w:r w:rsidR="001C4A39" w:rsidRPr="003E1C82">
        <w:rPr>
          <w:rFonts w:eastAsiaTheme="majorEastAsia"/>
        </w:rPr>
        <w:t>FISMA’s primary framework is detailed in NIST 800-53</w:t>
      </w:r>
      <w:r w:rsidR="00E77470">
        <w:rPr>
          <w:rFonts w:eastAsiaTheme="majorEastAsia"/>
        </w:rPr>
        <w:t>,</w:t>
      </w:r>
      <w:r w:rsidR="001C4A39" w:rsidRPr="003E1C82">
        <w:rPr>
          <w:rFonts w:eastAsiaTheme="majorEastAsia"/>
        </w:rPr>
        <w:t xml:space="preserve"> therefore </w:t>
      </w:r>
      <w:r w:rsidR="00E77470">
        <w:rPr>
          <w:rFonts w:eastAsiaTheme="majorEastAsia"/>
        </w:rPr>
        <w:t xml:space="preserve">all agencies </w:t>
      </w:r>
      <w:r w:rsidR="001C4A39" w:rsidRPr="003E1C82">
        <w:rPr>
          <w:rFonts w:eastAsiaTheme="majorEastAsia"/>
        </w:rPr>
        <w:t xml:space="preserve">must be complaint with NIST standards and guidelines </w:t>
      </w:r>
      <w:r w:rsidR="00E77470" w:rsidRPr="00F84414">
        <w:rPr>
          <w:rFonts w:eastAsiaTheme="majorEastAsia"/>
        </w:rPr>
        <w:t>to</w:t>
      </w:r>
      <w:r w:rsidR="001C4A39" w:rsidRPr="003E1C82">
        <w:rPr>
          <w:rFonts w:eastAsiaTheme="majorEastAsia"/>
        </w:rPr>
        <w:t xml:space="preserve"> meet annual compliance guidelines FISMA</w:t>
      </w:r>
      <w:r w:rsidR="00F352C7" w:rsidRPr="003E1C82">
        <w:rPr>
          <w:rFonts w:eastAsiaTheme="majorEastAsia"/>
        </w:rPr>
        <w:t>.</w:t>
      </w:r>
    </w:p>
    <w:p w14:paraId="06E23039" w14:textId="413A9459" w:rsidR="00021CA6" w:rsidRPr="003E1C82" w:rsidRDefault="00021CA6" w:rsidP="00021CA6">
      <w:pPr>
        <w:pStyle w:val="NormalWeb"/>
        <w:shd w:val="clear" w:color="auto" w:fill="FFFFFF"/>
        <w:spacing w:before="0" w:beforeAutospacing="0" w:after="0" w:afterAutospacing="0" w:line="200" w:lineRule="atLeast"/>
        <w:rPr>
          <w:rFonts w:asciiTheme="minorHAnsi" w:hAnsiTheme="minorHAnsi" w:cstheme="minorHAnsi"/>
          <w:sz w:val="22"/>
          <w:szCs w:val="22"/>
        </w:rPr>
      </w:pPr>
      <w:r w:rsidRPr="003E1C82">
        <w:rPr>
          <w:rFonts w:asciiTheme="minorHAnsi" w:hAnsiTheme="minorHAnsi" w:cstheme="minorHAnsi"/>
          <w:sz w:val="22"/>
          <w:szCs w:val="22"/>
        </w:rPr>
        <w:t>FISMA assigns responsibilities to various agencies to ensure the security of data in the federal government. The act requires program officials, and the head of each agency, to conduct annual reviews of information security programs, with the intent of keeping risks at or below specified acceptable levels in a cost-effective, timely</w:t>
      </w:r>
      <w:r w:rsidR="002F7E8F">
        <w:rPr>
          <w:rFonts w:asciiTheme="minorHAnsi" w:hAnsiTheme="minorHAnsi" w:cstheme="minorHAnsi"/>
          <w:sz w:val="22"/>
          <w:szCs w:val="22"/>
        </w:rPr>
        <w:t>,</w:t>
      </w:r>
      <w:r w:rsidRPr="003E1C82">
        <w:rPr>
          <w:rFonts w:asciiTheme="minorHAnsi" w:hAnsiTheme="minorHAnsi" w:cstheme="minorHAnsi"/>
          <w:sz w:val="22"/>
          <w:szCs w:val="22"/>
        </w:rPr>
        <w:t xml:space="preserve"> and efficient manner. </w:t>
      </w:r>
      <w:r w:rsidR="002F7E8F">
        <w:rPr>
          <w:rFonts w:asciiTheme="minorHAnsi" w:hAnsiTheme="minorHAnsi" w:cstheme="minorHAnsi"/>
          <w:sz w:val="22"/>
          <w:szCs w:val="22"/>
        </w:rPr>
        <w:t>NIST</w:t>
      </w:r>
      <w:r w:rsidRPr="003E1C82">
        <w:rPr>
          <w:rFonts w:asciiTheme="minorHAnsi" w:hAnsiTheme="minorHAnsi" w:cstheme="minorHAnsi"/>
          <w:sz w:val="22"/>
          <w:szCs w:val="22"/>
        </w:rPr>
        <w:t xml:space="preserve"> outlines nine steps toward compliance with FISMA:</w:t>
      </w:r>
    </w:p>
    <w:p w14:paraId="1E25A209" w14:textId="77777777" w:rsidR="00583887" w:rsidRPr="003E1C82" w:rsidRDefault="00583887" w:rsidP="00021CA6">
      <w:pPr>
        <w:pStyle w:val="NormalWeb"/>
        <w:shd w:val="clear" w:color="auto" w:fill="FFFFFF"/>
        <w:spacing w:before="0" w:beforeAutospacing="0" w:after="0" w:afterAutospacing="0" w:line="200" w:lineRule="atLeast"/>
        <w:rPr>
          <w:rFonts w:asciiTheme="minorHAnsi" w:hAnsiTheme="minorHAnsi" w:cstheme="minorHAnsi"/>
          <w:sz w:val="22"/>
          <w:szCs w:val="22"/>
        </w:rPr>
      </w:pPr>
    </w:p>
    <w:p w14:paraId="2E60A03F" w14:textId="7F59F18C"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Categorize the information to be protected</w:t>
      </w:r>
    </w:p>
    <w:p w14:paraId="4BF06ACD" w14:textId="3894722F"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Select minimum baseline controls</w:t>
      </w:r>
    </w:p>
    <w:p w14:paraId="613E131C" w14:textId="31ED4553"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Refine controls using a risk assessment procedure</w:t>
      </w:r>
    </w:p>
    <w:p w14:paraId="257014CE" w14:textId="7689493B"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Document the controls in the system security plan</w:t>
      </w:r>
    </w:p>
    <w:p w14:paraId="57DAF16F" w14:textId="0BCB5299"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Implement security controls in appropriate information systems</w:t>
      </w:r>
    </w:p>
    <w:p w14:paraId="056D1DEC" w14:textId="122C7C4B"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Assess the effectiveness of the security controls once they have been implemented</w:t>
      </w:r>
    </w:p>
    <w:p w14:paraId="46219E1B" w14:textId="4FA91260"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Determine agency-level risk to the mission or business case</w:t>
      </w:r>
    </w:p>
    <w:p w14:paraId="12BB5491" w14:textId="2432D181"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Authorize the information system for processing</w:t>
      </w:r>
    </w:p>
    <w:p w14:paraId="2960EFF4" w14:textId="4C9C1987" w:rsidR="00021CA6" w:rsidRPr="003E1C82" w:rsidRDefault="00021CA6" w:rsidP="00021CA6">
      <w:pPr>
        <w:pStyle w:val="indentfix"/>
        <w:numPr>
          <w:ilvl w:val="0"/>
          <w:numId w:val="15"/>
        </w:numPr>
        <w:shd w:val="clear" w:color="auto" w:fill="FFFFFF"/>
        <w:spacing w:before="0" w:beforeAutospacing="0" w:after="0" w:afterAutospacing="0" w:line="200" w:lineRule="atLeast"/>
        <w:ind w:left="375"/>
        <w:rPr>
          <w:rFonts w:asciiTheme="minorHAnsi" w:hAnsiTheme="minorHAnsi" w:cstheme="minorHAnsi"/>
          <w:sz w:val="22"/>
          <w:szCs w:val="22"/>
        </w:rPr>
      </w:pPr>
      <w:r w:rsidRPr="003E1C82">
        <w:rPr>
          <w:rFonts w:asciiTheme="minorHAnsi" w:hAnsiTheme="minorHAnsi" w:cstheme="minorHAnsi"/>
          <w:sz w:val="22"/>
          <w:szCs w:val="22"/>
        </w:rPr>
        <w:t>Monitor the security controls on a continuous basis</w:t>
      </w:r>
      <w:r w:rsidRPr="003E1C82">
        <w:rPr>
          <w:rStyle w:val="FootnoteReference"/>
          <w:rFonts w:asciiTheme="minorHAnsi" w:hAnsiTheme="minorHAnsi" w:cstheme="minorHAnsi"/>
          <w:sz w:val="22"/>
          <w:szCs w:val="22"/>
        </w:rPr>
        <w:footnoteReference w:id="2"/>
      </w:r>
    </w:p>
    <w:p w14:paraId="2876FF18" w14:textId="77777777" w:rsidR="00021CA6" w:rsidRPr="003E1C82" w:rsidRDefault="00021CA6" w:rsidP="00021CA6">
      <w:pPr>
        <w:pStyle w:val="indentfix"/>
        <w:shd w:val="clear" w:color="auto" w:fill="FFFFFF"/>
        <w:spacing w:before="0" w:beforeAutospacing="0" w:after="0" w:afterAutospacing="0" w:line="200" w:lineRule="atLeast"/>
        <w:ind w:left="375"/>
        <w:rPr>
          <w:rFonts w:asciiTheme="minorHAnsi" w:hAnsiTheme="minorHAnsi" w:cstheme="minorHAnsi"/>
          <w:sz w:val="22"/>
          <w:szCs w:val="22"/>
        </w:rPr>
      </w:pPr>
    </w:p>
    <w:p w14:paraId="4E44ADDF" w14:textId="10AFCE1B" w:rsidR="00EC4451" w:rsidRPr="003E1C82" w:rsidRDefault="00EC4451" w:rsidP="00EC4451">
      <w:r w:rsidRPr="003E1C82">
        <w:rPr>
          <w:rFonts w:eastAsia="Times New Roman" w:cstheme="minorHAnsi"/>
        </w:rPr>
        <w:t>NIST’s</w:t>
      </w:r>
      <w:r w:rsidRPr="003E1C82">
        <w:t xml:space="preserve"> FISMA Implementation Project aims to produce several key security standards and guidelines required by Congressional legislation to comply with FISMA. These publications include FIPS 199, FIPS 200, and NIST Special Publications 800-53, 800-59, and 800-60. Additional security guidance documents are being developed in support of the project</w:t>
      </w:r>
      <w:r w:rsidR="002F7E8F">
        <w:t>,</w:t>
      </w:r>
      <w:r w:rsidRPr="003E1C82">
        <w:t xml:space="preserve"> including NIST Special Publications 800-37, 800-39, 800-171, 800-53A</w:t>
      </w:r>
      <w:r w:rsidR="002F7E8F">
        <w:t>,</w:t>
      </w:r>
      <w:r w:rsidRPr="003E1C82">
        <w:t xml:space="preserve"> and NIST Interagency Report 8011. It should be noted that the Computer Security Division continues to produce other security standards and guidelines in support of FISMA. </w:t>
      </w:r>
    </w:p>
    <w:p w14:paraId="3BCF17B5" w14:textId="77777777" w:rsidR="00EC4451" w:rsidRPr="003E1C82" w:rsidRDefault="00EC4451" w:rsidP="00EC4451">
      <w:pPr>
        <w:shd w:val="clear" w:color="auto" w:fill="FFFFFF"/>
        <w:rPr>
          <w:rFonts w:eastAsia="Times New Roman" w:cstheme="minorHAnsi"/>
        </w:rPr>
      </w:pPr>
      <w:r w:rsidRPr="003E1C82">
        <w:rPr>
          <w:rFonts w:eastAsia="Times New Roman" w:cstheme="minorHAnsi"/>
        </w:rPr>
        <w:t xml:space="preserve"> Some specific goals include:</w:t>
      </w:r>
    </w:p>
    <w:p w14:paraId="12CD507A" w14:textId="77777777" w:rsidR="00EC4451" w:rsidRPr="003E1C82" w:rsidRDefault="00EC4451" w:rsidP="00EC4451">
      <w:pPr>
        <w:numPr>
          <w:ilvl w:val="0"/>
          <w:numId w:val="30"/>
        </w:numPr>
        <w:spacing w:after="0" w:line="240" w:lineRule="auto"/>
        <w:textAlignment w:val="baseline"/>
        <w:rPr>
          <w:rFonts w:eastAsia="Times New Roman" w:cstheme="minorHAnsi"/>
        </w:rPr>
      </w:pPr>
      <w:r w:rsidRPr="003E1C82">
        <w:rPr>
          <w:rFonts w:eastAsia="Times New Roman" w:cstheme="minorHAnsi"/>
        </w:rPr>
        <w:t>Implementing a risk management program</w:t>
      </w:r>
    </w:p>
    <w:p w14:paraId="69950400" w14:textId="77777777" w:rsidR="00EC4451" w:rsidRPr="003E1C82" w:rsidRDefault="00EC4451" w:rsidP="00EC4451">
      <w:pPr>
        <w:numPr>
          <w:ilvl w:val="0"/>
          <w:numId w:val="30"/>
        </w:numPr>
        <w:spacing w:after="0" w:line="240" w:lineRule="auto"/>
        <w:textAlignment w:val="baseline"/>
        <w:rPr>
          <w:rFonts w:eastAsia="Times New Roman" w:cstheme="minorHAnsi"/>
        </w:rPr>
      </w:pPr>
      <w:r w:rsidRPr="003E1C82">
        <w:rPr>
          <w:rFonts w:eastAsia="Times New Roman" w:cstheme="minorHAnsi"/>
        </w:rPr>
        <w:t>Protecting information and information systems from unauthorized access, use, disclosure, disruption, modification, or destruction</w:t>
      </w:r>
    </w:p>
    <w:p w14:paraId="14C7703C" w14:textId="43828B52" w:rsidR="00EC4451" w:rsidRPr="003E1C82" w:rsidRDefault="00EC4451" w:rsidP="00EC4451">
      <w:pPr>
        <w:numPr>
          <w:ilvl w:val="0"/>
          <w:numId w:val="30"/>
        </w:numPr>
        <w:spacing w:after="0" w:line="240" w:lineRule="auto"/>
        <w:textAlignment w:val="baseline"/>
        <w:rPr>
          <w:rFonts w:eastAsia="Times New Roman" w:cstheme="minorHAnsi"/>
        </w:rPr>
      </w:pPr>
      <w:r w:rsidRPr="003E1C82">
        <w:rPr>
          <w:rFonts w:eastAsia="Times New Roman" w:cstheme="minorHAnsi"/>
        </w:rPr>
        <w:t>Ensure the integrity, confidentiality</w:t>
      </w:r>
      <w:r w:rsidR="002F7E8F">
        <w:rPr>
          <w:rFonts w:eastAsia="Times New Roman" w:cstheme="minorHAnsi"/>
        </w:rPr>
        <w:t>,</w:t>
      </w:r>
      <w:r w:rsidRPr="003E1C82">
        <w:rPr>
          <w:rFonts w:eastAsia="Times New Roman" w:cstheme="minorHAnsi"/>
        </w:rPr>
        <w:t xml:space="preserve"> and availability of sensitive information</w:t>
      </w:r>
    </w:p>
    <w:p w14:paraId="4229676B" w14:textId="77777777" w:rsidR="00EC4451" w:rsidRPr="003E1C82" w:rsidRDefault="00EC4451" w:rsidP="00EC4451">
      <w:pPr>
        <w:pStyle w:val="indentfix"/>
        <w:shd w:val="clear" w:color="auto" w:fill="FFFFFF"/>
        <w:spacing w:before="0" w:beforeAutospacing="0" w:after="0" w:afterAutospacing="0" w:line="200" w:lineRule="atLeast"/>
        <w:rPr>
          <w:rFonts w:asciiTheme="minorHAnsi" w:hAnsiTheme="minorHAnsi" w:cstheme="minorHAnsi"/>
          <w:sz w:val="22"/>
          <w:szCs w:val="22"/>
        </w:rPr>
      </w:pPr>
    </w:p>
    <w:p w14:paraId="4971417F" w14:textId="6B33F306" w:rsidR="00EC4451" w:rsidRPr="003E1C82" w:rsidRDefault="00EC4451" w:rsidP="00EC4451">
      <w:r w:rsidRPr="003E1C82">
        <w:lastRenderedPageBreak/>
        <w:t>The American Recovery and Reinvestment Act (ARRA) stipulates that NIST should:</w:t>
      </w:r>
    </w:p>
    <w:p w14:paraId="18EA85DF" w14:textId="77777777" w:rsidR="00EC4451" w:rsidRPr="003E1C82" w:rsidRDefault="00EC4451" w:rsidP="00EC4451">
      <w:pPr>
        <w:pStyle w:val="ListParagraph"/>
        <w:numPr>
          <w:ilvl w:val="0"/>
          <w:numId w:val="29"/>
        </w:numPr>
        <w:spacing w:after="0" w:line="240" w:lineRule="auto"/>
        <w:contextualSpacing w:val="0"/>
      </w:pPr>
      <w:r w:rsidRPr="003E1C82">
        <w:t xml:space="preserve">Advance health care information enterprise integration through standards and testing </w:t>
      </w:r>
    </w:p>
    <w:p w14:paraId="781E8297" w14:textId="77777777" w:rsidR="00EC4451" w:rsidRPr="003E1C82" w:rsidRDefault="00EC4451" w:rsidP="00EC4451">
      <w:pPr>
        <w:pStyle w:val="ListParagraph"/>
        <w:numPr>
          <w:ilvl w:val="0"/>
          <w:numId w:val="29"/>
        </w:numPr>
        <w:spacing w:after="0" w:line="240" w:lineRule="auto"/>
        <w:contextualSpacing w:val="0"/>
      </w:pPr>
      <w:r w:rsidRPr="003E1C82">
        <w:t xml:space="preserve">Establish grants program for health enterprise integration centers </w:t>
      </w:r>
    </w:p>
    <w:p w14:paraId="4584DF1B" w14:textId="77777777" w:rsidR="00EC4451" w:rsidRPr="003E1C82" w:rsidRDefault="00EC4451" w:rsidP="00EC4451">
      <w:pPr>
        <w:pStyle w:val="ListParagraph"/>
        <w:numPr>
          <w:ilvl w:val="0"/>
          <w:numId w:val="29"/>
        </w:numPr>
        <w:spacing w:after="0" w:line="240" w:lineRule="auto"/>
        <w:contextualSpacing w:val="0"/>
      </w:pPr>
      <w:r w:rsidRPr="003E1C82">
        <w:t xml:space="preserve">Consult on: </w:t>
      </w:r>
    </w:p>
    <w:p w14:paraId="156FD937" w14:textId="42FF163B" w:rsidR="00EC4451" w:rsidRPr="003E1C82" w:rsidRDefault="002F7E8F" w:rsidP="005A1638">
      <w:pPr>
        <w:pStyle w:val="ListParagraph"/>
        <w:numPr>
          <w:ilvl w:val="1"/>
          <w:numId w:val="35"/>
        </w:numPr>
        <w:spacing w:after="0" w:line="240" w:lineRule="auto"/>
        <w:contextualSpacing w:val="0"/>
      </w:pPr>
      <w:r>
        <w:t>U</w:t>
      </w:r>
      <w:r w:rsidR="00EC4451" w:rsidRPr="003E1C82">
        <w:t xml:space="preserve">pdating the Federal Health IT Strategic Plan </w:t>
      </w:r>
    </w:p>
    <w:p w14:paraId="7EECD49D" w14:textId="4F04A262" w:rsidR="00EC4451" w:rsidRPr="003E1C82" w:rsidRDefault="002F7E8F" w:rsidP="005A1638">
      <w:pPr>
        <w:pStyle w:val="ListParagraph"/>
        <w:numPr>
          <w:ilvl w:val="1"/>
          <w:numId w:val="35"/>
        </w:numPr>
        <w:spacing w:after="0" w:line="240" w:lineRule="auto"/>
        <w:contextualSpacing w:val="0"/>
      </w:pPr>
      <w:r>
        <w:t>V</w:t>
      </w:r>
      <w:r w:rsidR="00EC4451" w:rsidRPr="003E1C82">
        <w:t xml:space="preserve">oluntary certification programs </w:t>
      </w:r>
    </w:p>
    <w:p w14:paraId="5EA58FBB" w14:textId="7FD67858" w:rsidR="00EC4451" w:rsidRPr="003E1C82" w:rsidRDefault="002F7E8F" w:rsidP="005A1638">
      <w:pPr>
        <w:pStyle w:val="ListParagraph"/>
        <w:numPr>
          <w:ilvl w:val="1"/>
          <w:numId w:val="35"/>
        </w:numPr>
        <w:spacing w:after="0" w:line="240" w:lineRule="auto"/>
        <w:contextualSpacing w:val="0"/>
      </w:pPr>
      <w:r>
        <w:t>H</w:t>
      </w:r>
      <w:r w:rsidR="00EC4451" w:rsidRPr="003E1C82">
        <w:t xml:space="preserve">ealth IT implementation </w:t>
      </w:r>
    </w:p>
    <w:p w14:paraId="1087ED27" w14:textId="77777777" w:rsidR="00EC4451" w:rsidRPr="003E1C82" w:rsidRDefault="00EC4451" w:rsidP="00EC4451">
      <w:pPr>
        <w:pStyle w:val="ListParagraph"/>
        <w:numPr>
          <w:ilvl w:val="0"/>
          <w:numId w:val="29"/>
        </w:numPr>
        <w:spacing w:after="0" w:line="240" w:lineRule="auto"/>
        <w:contextualSpacing w:val="0"/>
      </w:pPr>
      <w:r w:rsidRPr="003E1C82">
        <w:t>Provide pilot testing of standards and implementation specifications, as requested</w:t>
      </w:r>
    </w:p>
    <w:p w14:paraId="49A19A14" w14:textId="61D3B3A4" w:rsidR="00EC4451" w:rsidRPr="003E1C82" w:rsidRDefault="00EC4451" w:rsidP="003E1C82">
      <w:pPr>
        <w:spacing w:before="240"/>
      </w:pPr>
      <w:r w:rsidRPr="003E1C82">
        <w:t xml:space="preserve">NIST’s security specifications enable communicating parties to ensure the confidentiality, integrity, and availability of health information and help to safeguard health information by providing a harmonized set of security principles and guidelines for use in developing secure health information exchanges. Technical accomplishments include: </w:t>
      </w:r>
    </w:p>
    <w:p w14:paraId="57A0D1D9" w14:textId="119F752B" w:rsidR="00EC4451" w:rsidRPr="003E1C82" w:rsidRDefault="002F7E8F" w:rsidP="00EC4451">
      <w:pPr>
        <w:pStyle w:val="ListParagraph"/>
        <w:numPr>
          <w:ilvl w:val="0"/>
          <w:numId w:val="29"/>
        </w:numPr>
        <w:spacing w:after="0" w:line="240" w:lineRule="auto"/>
        <w:contextualSpacing w:val="0"/>
      </w:pPr>
      <w:r>
        <w:t>Served as l</w:t>
      </w:r>
      <w:r w:rsidR="00EC4451" w:rsidRPr="003E1C82">
        <w:t xml:space="preserve">ead author of HITSP secure communication construct </w:t>
      </w:r>
    </w:p>
    <w:p w14:paraId="4F9F50D7" w14:textId="77777777" w:rsidR="00EC4451" w:rsidRPr="003E1C82" w:rsidRDefault="00EC4451" w:rsidP="00EC4451">
      <w:pPr>
        <w:pStyle w:val="ListParagraph"/>
        <w:numPr>
          <w:ilvl w:val="0"/>
          <w:numId w:val="29"/>
        </w:numPr>
        <w:spacing w:after="0" w:line="240" w:lineRule="auto"/>
        <w:contextualSpacing w:val="0"/>
      </w:pPr>
      <w:r w:rsidRPr="003E1C82">
        <w:t>Developed a resource guide for covered entities implementing the HIPAA Security Rule</w:t>
      </w:r>
    </w:p>
    <w:p w14:paraId="2DED2E3C" w14:textId="77777777" w:rsidR="00EC4451" w:rsidRPr="00F84414" w:rsidRDefault="00EC4451" w:rsidP="00EC4451">
      <w:pPr>
        <w:pStyle w:val="ListParagraph"/>
        <w:spacing w:after="0" w:line="240" w:lineRule="auto"/>
        <w:ind w:left="770"/>
        <w:contextualSpacing w:val="0"/>
      </w:pPr>
    </w:p>
    <w:p w14:paraId="7F137D5F" w14:textId="2D5EBD40" w:rsidR="00EC4451" w:rsidRPr="003E1C82" w:rsidRDefault="00EC4451" w:rsidP="00EC4451">
      <w:r w:rsidRPr="003E1C82">
        <w:rPr>
          <w:rFonts w:cstheme="minorHAnsi"/>
          <w:shd w:val="clear" w:color="auto" w:fill="FFFFFF"/>
        </w:rPr>
        <w:t>Though HIPAA and FISMA are governed by different federal agencies and serve different purposes</w:t>
      </w:r>
      <w:r w:rsidR="002F7E8F">
        <w:rPr>
          <w:rFonts w:cstheme="minorHAnsi"/>
          <w:shd w:val="clear" w:color="auto" w:fill="FFFFFF"/>
        </w:rPr>
        <w:t>,</w:t>
      </w:r>
      <w:r w:rsidRPr="003E1C82">
        <w:rPr>
          <w:rFonts w:cstheme="minorHAnsi"/>
          <w:shd w:val="clear" w:color="auto" w:fill="FFFFFF"/>
        </w:rPr>
        <w:t xml:space="preserve"> there is overlap between them. “When following FISMA requirements</w:t>
      </w:r>
      <w:r w:rsidR="002F7E8F">
        <w:rPr>
          <w:rFonts w:cstheme="minorHAnsi"/>
          <w:shd w:val="clear" w:color="auto" w:fill="FFFFFF"/>
        </w:rPr>
        <w:t>,</w:t>
      </w:r>
      <w:r w:rsidRPr="003E1C82">
        <w:rPr>
          <w:rFonts w:cstheme="minorHAnsi"/>
          <w:shd w:val="clear" w:color="auto" w:fill="FFFFFF"/>
        </w:rPr>
        <w:t xml:space="preserve"> HIPAA </w:t>
      </w:r>
      <w:r w:rsidR="002F7E8F">
        <w:rPr>
          <w:rFonts w:cstheme="minorHAnsi"/>
          <w:shd w:val="clear" w:color="auto" w:fill="FFFFFF"/>
        </w:rPr>
        <w:t>c</w:t>
      </w:r>
      <w:r w:rsidRPr="003E1C82">
        <w:rPr>
          <w:rFonts w:cstheme="minorHAnsi"/>
          <w:shd w:val="clear" w:color="auto" w:fill="FFFFFF"/>
        </w:rPr>
        <w:t>ompliance can be achieved without any additional methodology. This philosophy does not hold true going in the opposite direction; HIPAA guidelines do not encompass all that is required for FISMA compliance. HIPAA provides guidance to address the provisions required for the security and privacy of health-related information, whereas FISMA presents instructions for the security of the information and the information systems which support these activities.”</w:t>
      </w:r>
      <w:r w:rsidRPr="003E1C82">
        <w:t xml:space="preserve"> </w:t>
      </w:r>
      <w:r w:rsidRPr="003E1C82">
        <w:rPr>
          <w:rStyle w:val="FootnoteReference"/>
        </w:rPr>
        <w:footnoteReference w:id="3"/>
      </w:r>
    </w:p>
    <w:p w14:paraId="056BCD71" w14:textId="65B3D3D1" w:rsidR="00A94A64" w:rsidRDefault="00EC4451" w:rsidP="00F352C7">
      <w:r w:rsidRPr="003E1C82">
        <w:t>Though the scope of this document is</w:t>
      </w:r>
      <w:r w:rsidR="006D087F">
        <w:t xml:space="preserve"> to provide a high-</w:t>
      </w:r>
      <w:r w:rsidRPr="003E1C82">
        <w:t>level overview of HIPAA requirements for protecting certain health information, it is important to point out the many laws</w:t>
      </w:r>
      <w:r w:rsidR="00F84414">
        <w:t xml:space="preserve"> that govern and direct </w:t>
      </w:r>
      <w:r w:rsidR="007477FF" w:rsidRPr="00556D94">
        <w:t>privacy and security</w:t>
      </w:r>
      <w:r w:rsidR="007477FF">
        <w:t xml:space="preserve"> of </w:t>
      </w:r>
      <w:r w:rsidR="002F7E8F">
        <w:t>pr</w:t>
      </w:r>
      <w:r w:rsidR="007477FF">
        <w:t xml:space="preserve">otected </w:t>
      </w:r>
      <w:r w:rsidR="002F7E8F">
        <w:t>h</w:t>
      </w:r>
      <w:r w:rsidR="007477FF">
        <w:t xml:space="preserve">ealth </w:t>
      </w:r>
      <w:r w:rsidR="002F7E8F">
        <w:t>i</w:t>
      </w:r>
      <w:r w:rsidR="007477FF">
        <w:t>nformation</w:t>
      </w:r>
      <w:r w:rsidRPr="003E1C82">
        <w:t xml:space="preserve">. Below is a timeline FHA created that depicts the evolution of privacy and security governance for the federal agencies. </w:t>
      </w:r>
      <w:r w:rsidR="00631B00">
        <w:t>A</w:t>
      </w:r>
      <w:r w:rsidRPr="003E1C82">
        <w:t xml:space="preserve"> table with links to helpful references for additional reading</w:t>
      </w:r>
      <w:r w:rsidR="00631B00">
        <w:t xml:space="preserve"> is included</w:t>
      </w:r>
      <w:r w:rsidRPr="003E1C82">
        <w:t>. It is important to note that state and local governments often have their own laws for security and privacy.</w:t>
      </w:r>
      <w:r>
        <w:rPr>
          <w:color w:val="FF0000"/>
        </w:rPr>
        <w:t xml:space="preserve"> </w:t>
      </w:r>
      <w:r>
        <w:rPr>
          <w:rFonts w:ascii="Calibri" w:eastAsia="Calibri" w:hAnsi="Calibri" w:cs="Calibri"/>
        </w:rPr>
        <w:t xml:space="preserve"> </w:t>
      </w:r>
    </w:p>
    <w:p w14:paraId="65EE88AB" w14:textId="0AFDE9FB" w:rsidR="00A37D58" w:rsidRPr="00B70CEC" w:rsidRDefault="00A37D58" w:rsidP="00B70CEC">
      <w:r>
        <w:rPr>
          <w:rFonts w:ascii="Calibri" w:eastAsia="Calibri" w:hAnsi="Calibri" w:cs="Calibri"/>
          <w:noProof/>
        </w:rPr>
        <w:lastRenderedPageBreak/>
        <w:drawing>
          <wp:inline distT="0" distB="0" distL="0" distR="0" wp14:anchorId="4A05FE33" wp14:editId="4A48C4BC">
            <wp:extent cx="5943600" cy="445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noFill/>
                    </a:ln>
                  </pic:spPr>
                </pic:pic>
              </a:graphicData>
            </a:graphic>
          </wp:inline>
        </w:drawing>
      </w:r>
    </w:p>
    <w:p w14:paraId="37426251" w14:textId="77777777" w:rsidR="00EC4451" w:rsidRDefault="00EC4451" w:rsidP="00EC4451">
      <w:pPr>
        <w:pStyle w:val="Heading1"/>
        <w:rPr>
          <w:rFonts w:eastAsia="Calibri"/>
          <w:shd w:val="clear" w:color="auto" w:fill="FFFFFF"/>
        </w:rPr>
      </w:pPr>
      <w:bookmarkStart w:id="11" w:name="_Toc9404321"/>
      <w:r>
        <w:rPr>
          <w:rFonts w:eastAsia="Calibri"/>
          <w:shd w:val="clear" w:color="auto" w:fill="FFFFFF"/>
        </w:rPr>
        <w:t>Trust Frameworks</w:t>
      </w:r>
      <w:bookmarkEnd w:id="11"/>
    </w:p>
    <w:p w14:paraId="08C27F71" w14:textId="14AA46A1" w:rsidR="00EC4451" w:rsidRPr="003E1C82" w:rsidRDefault="00EC4451" w:rsidP="003E1C82">
      <w:pPr>
        <w:pStyle w:val="NormalWeb"/>
        <w:shd w:val="clear" w:color="auto" w:fill="FFFFFF"/>
        <w:spacing w:before="0" w:beforeAutospacing="0" w:after="240" w:afterAutospacing="0"/>
        <w:rPr>
          <w:rFonts w:asciiTheme="minorHAnsi" w:hAnsiTheme="minorHAnsi" w:cstheme="minorHAnsi"/>
          <w:sz w:val="22"/>
          <w:szCs w:val="22"/>
        </w:rPr>
      </w:pPr>
      <w:r w:rsidRPr="003E1C82">
        <w:rPr>
          <w:rFonts w:asciiTheme="minorHAnsi" w:hAnsiTheme="minorHAnsi" w:cstheme="minorHAnsi"/>
          <w:sz w:val="22"/>
          <w:szCs w:val="22"/>
        </w:rPr>
        <w:t>There are several trust frameworks that healthcare organizations can leverage to help secure the confidentiality, integrity</w:t>
      </w:r>
      <w:r w:rsidR="002F7E8F">
        <w:rPr>
          <w:rFonts w:asciiTheme="minorHAnsi" w:hAnsiTheme="minorHAnsi" w:cstheme="minorHAnsi"/>
          <w:sz w:val="22"/>
          <w:szCs w:val="22"/>
        </w:rPr>
        <w:t>,</w:t>
      </w:r>
      <w:r w:rsidRPr="003E1C82">
        <w:rPr>
          <w:rFonts w:asciiTheme="minorHAnsi" w:hAnsiTheme="minorHAnsi" w:cstheme="minorHAnsi"/>
          <w:sz w:val="22"/>
          <w:szCs w:val="22"/>
        </w:rPr>
        <w:t xml:space="preserve"> and availability of information and data. A cyber security framework is a roadmap for securing IT systems with established policies and procedures in the form of agreements. </w:t>
      </w:r>
      <w:r w:rsidR="00F06024" w:rsidRPr="003E1C82">
        <w:rPr>
          <w:rFonts w:asciiTheme="minorHAnsi" w:hAnsiTheme="minorHAnsi" w:cstheme="minorHAnsi"/>
          <w:sz w:val="22"/>
          <w:szCs w:val="22"/>
        </w:rPr>
        <w:t xml:space="preserve">These include eHealth Exchange’s </w:t>
      </w:r>
      <w:r w:rsidR="0032308B" w:rsidRPr="0032308B">
        <w:rPr>
          <w:rFonts w:asciiTheme="minorHAnsi" w:hAnsiTheme="minorHAnsi" w:cstheme="minorHAnsi"/>
          <w:sz w:val="22"/>
          <w:szCs w:val="22"/>
        </w:rPr>
        <w:t xml:space="preserve">Data Use and Reciprocal Support Agreement </w:t>
      </w:r>
      <w:r w:rsidR="0032308B">
        <w:rPr>
          <w:rFonts w:asciiTheme="minorHAnsi" w:hAnsiTheme="minorHAnsi" w:cstheme="minorHAnsi"/>
          <w:sz w:val="22"/>
          <w:szCs w:val="22"/>
        </w:rPr>
        <w:t>(</w:t>
      </w:r>
      <w:r w:rsidR="00F06024" w:rsidRPr="003E1C82">
        <w:rPr>
          <w:rFonts w:asciiTheme="minorHAnsi" w:hAnsiTheme="minorHAnsi" w:cstheme="minorHAnsi"/>
          <w:sz w:val="22"/>
          <w:szCs w:val="22"/>
        </w:rPr>
        <w:t>DURSA</w:t>
      </w:r>
      <w:r w:rsidR="0032308B">
        <w:rPr>
          <w:rFonts w:asciiTheme="minorHAnsi" w:hAnsiTheme="minorHAnsi" w:cstheme="minorHAnsi"/>
          <w:sz w:val="22"/>
          <w:szCs w:val="22"/>
        </w:rPr>
        <w:t>)</w:t>
      </w:r>
      <w:r w:rsidR="00F06024" w:rsidRPr="003E1C82">
        <w:rPr>
          <w:rFonts w:asciiTheme="minorHAnsi" w:hAnsiTheme="minorHAnsi" w:cstheme="minorHAnsi"/>
          <w:sz w:val="22"/>
          <w:szCs w:val="22"/>
        </w:rPr>
        <w:t>,</w:t>
      </w:r>
      <w:r w:rsidR="00F06024" w:rsidRPr="007477FF">
        <w:t xml:space="preserve"> </w:t>
      </w:r>
      <w:r w:rsidR="00F06024" w:rsidRPr="003E1C82">
        <w:rPr>
          <w:rFonts w:asciiTheme="minorHAnsi" w:hAnsiTheme="minorHAnsi" w:cstheme="minorHAnsi"/>
          <w:sz w:val="22"/>
          <w:szCs w:val="22"/>
        </w:rPr>
        <w:t xml:space="preserve">NIST’s Cyber Security Framework, </w:t>
      </w:r>
      <w:r w:rsidR="00E77470" w:rsidRPr="007477FF">
        <w:rPr>
          <w:rFonts w:asciiTheme="minorHAnsi" w:hAnsiTheme="minorHAnsi" w:cstheme="minorHAnsi"/>
          <w:sz w:val="22"/>
          <w:szCs w:val="22"/>
        </w:rPr>
        <w:t xml:space="preserve">and </w:t>
      </w:r>
      <w:r w:rsidR="0032308B">
        <w:rPr>
          <w:rFonts w:asciiTheme="minorHAnsi" w:hAnsiTheme="minorHAnsi" w:cstheme="minorHAnsi"/>
          <w:sz w:val="22"/>
          <w:szCs w:val="22"/>
        </w:rPr>
        <w:t>the Office of the National Coordinator for Health Information Technology (</w:t>
      </w:r>
      <w:r w:rsidR="00E77470" w:rsidRPr="007477FF">
        <w:rPr>
          <w:rFonts w:asciiTheme="minorHAnsi" w:hAnsiTheme="minorHAnsi" w:cstheme="minorHAnsi"/>
          <w:sz w:val="22"/>
          <w:szCs w:val="22"/>
        </w:rPr>
        <w:t>ONC’s</w:t>
      </w:r>
      <w:r w:rsidR="0032308B">
        <w:rPr>
          <w:rFonts w:asciiTheme="minorHAnsi" w:hAnsiTheme="minorHAnsi" w:cstheme="minorHAnsi"/>
          <w:sz w:val="22"/>
          <w:szCs w:val="22"/>
        </w:rPr>
        <w:t>)</w:t>
      </w:r>
      <w:r w:rsidR="00F06024" w:rsidRPr="003E1C82">
        <w:rPr>
          <w:rFonts w:asciiTheme="minorHAnsi" w:hAnsiTheme="minorHAnsi" w:cstheme="minorHAnsi"/>
          <w:sz w:val="22"/>
          <w:szCs w:val="22"/>
        </w:rPr>
        <w:t xml:space="preserve"> Trusted Exchange Framework and Common Agreement</w:t>
      </w:r>
      <w:r w:rsidR="002F7E8F">
        <w:rPr>
          <w:rFonts w:asciiTheme="minorHAnsi" w:hAnsiTheme="minorHAnsi" w:cstheme="minorHAnsi"/>
          <w:sz w:val="22"/>
          <w:szCs w:val="22"/>
        </w:rPr>
        <w:t xml:space="preserve"> (TEFCA)</w:t>
      </w:r>
      <w:r w:rsidR="00F06024" w:rsidRPr="003E1C82">
        <w:rPr>
          <w:rFonts w:asciiTheme="minorHAnsi" w:hAnsiTheme="minorHAnsi" w:cstheme="minorHAnsi"/>
          <w:sz w:val="22"/>
          <w:szCs w:val="22"/>
        </w:rPr>
        <w:t>.</w:t>
      </w:r>
    </w:p>
    <w:p w14:paraId="289FC681" w14:textId="77777777" w:rsidR="00EC4451" w:rsidRDefault="00EC4451" w:rsidP="00EC4451">
      <w:pPr>
        <w:pStyle w:val="Heading2"/>
      </w:pPr>
      <w:bookmarkStart w:id="12" w:name="_Toc9404322"/>
      <w:r>
        <w:t>eHealth Exchange’s DURSA</w:t>
      </w:r>
      <w:bookmarkEnd w:id="12"/>
    </w:p>
    <w:p w14:paraId="148EFC09" w14:textId="0AE26598" w:rsidR="00EC4451" w:rsidRPr="003E1C82" w:rsidRDefault="00EC4451" w:rsidP="00EC4451">
      <w:r w:rsidRPr="003E1C82">
        <w:t xml:space="preserve">The eHealth Exchange network started as </w:t>
      </w:r>
      <w:r w:rsidR="0032308B">
        <w:t xml:space="preserve">the </w:t>
      </w:r>
      <w:r w:rsidR="0032308B" w:rsidRPr="0032308B">
        <w:t xml:space="preserve">Nationwide Health Information Network </w:t>
      </w:r>
      <w:r w:rsidR="0032308B">
        <w:t xml:space="preserve">(NHIN), </w:t>
      </w:r>
      <w:r w:rsidRPr="003E1C82">
        <w:t>an ONC program initiative</w:t>
      </w:r>
      <w:r w:rsidR="0032308B">
        <w:t xml:space="preserve">.  </w:t>
      </w:r>
      <w:r w:rsidRPr="003E1C82">
        <w:t xml:space="preserve">The network discontinued operating under the NHIN moniker and changed its name to eHealth Exchange when it moved to a private sector initiative, supported by The Sequoia Project. The eHealth Exchange network exists independently of Sequoia, the company. eHealth Exchange staff provide support to the eHealth Exchange network, the </w:t>
      </w:r>
      <w:r w:rsidR="002F7E8F">
        <w:t>c</w:t>
      </w:r>
      <w:r w:rsidRPr="003E1C82">
        <w:t xml:space="preserve">oordinating </w:t>
      </w:r>
      <w:r w:rsidR="002F7E8F">
        <w:t>c</w:t>
      </w:r>
      <w:r w:rsidRPr="003E1C82">
        <w:t xml:space="preserve">ommittee and </w:t>
      </w:r>
      <w:r w:rsidR="002F7E8F">
        <w:t>p</w:t>
      </w:r>
      <w:r w:rsidRPr="003E1C82">
        <w:t>articipants</w:t>
      </w:r>
      <w:r w:rsidR="002F7E8F">
        <w:t xml:space="preserve">, all </w:t>
      </w:r>
      <w:r w:rsidRPr="003E1C82">
        <w:t xml:space="preserve">under the direction of the </w:t>
      </w:r>
      <w:r w:rsidR="002F7E8F">
        <w:t>eHealth Exchang</w:t>
      </w:r>
      <w:r w:rsidR="0032308B">
        <w:t>e</w:t>
      </w:r>
      <w:r w:rsidR="002F7E8F">
        <w:t xml:space="preserve"> c</w:t>
      </w:r>
      <w:r w:rsidRPr="003E1C82">
        <w:t xml:space="preserve">oordinating </w:t>
      </w:r>
      <w:r w:rsidR="002F7E8F">
        <w:t>c</w:t>
      </w:r>
      <w:r w:rsidR="00E77470" w:rsidRPr="007477FF">
        <w:t>ommittee.</w:t>
      </w:r>
      <w:r w:rsidRPr="003E1C82">
        <w:t xml:space="preserve"> The </w:t>
      </w:r>
      <w:r w:rsidR="002F7E8F">
        <w:t>c</w:t>
      </w:r>
      <w:r w:rsidRPr="003E1C82">
        <w:t xml:space="preserve">oordinating </w:t>
      </w:r>
      <w:r w:rsidR="002F7E8F">
        <w:t>c</w:t>
      </w:r>
      <w:r w:rsidRPr="003E1C82">
        <w:t>ommittee has authority over the eHealth Exchange network, not Sequoia</w:t>
      </w:r>
      <w:r w:rsidR="002F7E8F">
        <w:t>,</w:t>
      </w:r>
      <w:r w:rsidRPr="003E1C82">
        <w:t xml:space="preserve"> and Sequoia is not a party to the DURSA</w:t>
      </w:r>
      <w:r w:rsidR="002F7E8F">
        <w:t>.</w:t>
      </w:r>
      <w:r w:rsidRPr="003E1C82">
        <w:t xml:space="preserve"> The DURSA is:</w:t>
      </w:r>
    </w:p>
    <w:p w14:paraId="4C67AF73" w14:textId="29C9E5C1" w:rsidR="00EC4451" w:rsidRPr="003E1C82" w:rsidRDefault="00EC4451" w:rsidP="00EC4451">
      <w:pPr>
        <w:pStyle w:val="ListParagraph"/>
        <w:numPr>
          <w:ilvl w:val="0"/>
          <w:numId w:val="31"/>
        </w:numPr>
        <w:spacing w:after="0" w:line="240" w:lineRule="auto"/>
        <w:contextualSpacing w:val="0"/>
      </w:pPr>
      <w:r w:rsidRPr="003E1C82">
        <w:t xml:space="preserve">A comprehensive, multi-party trust agreement that is signed by all eligible entities who wish to exchange data among </w:t>
      </w:r>
      <w:r w:rsidR="002F7E8F">
        <w:t>eHealth Exchange p</w:t>
      </w:r>
      <w:r w:rsidRPr="003E1C82">
        <w:t>articipants</w:t>
      </w:r>
    </w:p>
    <w:p w14:paraId="40C2A1E0" w14:textId="6018BB06" w:rsidR="00EC4451" w:rsidRPr="003E1C82" w:rsidRDefault="00EC4451" w:rsidP="00EC4451">
      <w:pPr>
        <w:pStyle w:val="ListParagraph"/>
        <w:numPr>
          <w:ilvl w:val="0"/>
          <w:numId w:val="31"/>
        </w:numPr>
        <w:spacing w:after="0" w:line="240" w:lineRule="auto"/>
        <w:contextualSpacing w:val="0"/>
      </w:pPr>
      <w:r w:rsidRPr="003E1C82">
        <w:lastRenderedPageBreak/>
        <w:t xml:space="preserve">A scalable alternative to multiple point-to-point agreements, which </w:t>
      </w:r>
      <w:r w:rsidR="002F7E8F">
        <w:t xml:space="preserve">are </w:t>
      </w:r>
      <w:r w:rsidRPr="003E1C82">
        <w:t>not sustainable for widespread information exchange</w:t>
      </w:r>
    </w:p>
    <w:p w14:paraId="05C8D2B7" w14:textId="2FCBCC18" w:rsidR="00EC4451" w:rsidRPr="003E1C82" w:rsidRDefault="00EC4451" w:rsidP="00EC4451">
      <w:pPr>
        <w:pStyle w:val="ListParagraph"/>
        <w:numPr>
          <w:ilvl w:val="0"/>
          <w:numId w:val="31"/>
        </w:numPr>
        <w:spacing w:after="0" w:line="240" w:lineRule="auto"/>
        <w:contextualSpacing w:val="0"/>
      </w:pPr>
      <w:r w:rsidRPr="003E1C82">
        <w:t xml:space="preserve">Requires signatories to abide by common set of terms and conditions that establish </w:t>
      </w:r>
      <w:r w:rsidR="002F7E8F">
        <w:t>p</w:t>
      </w:r>
      <w:r w:rsidRPr="003E1C82">
        <w:t>articipants’ obligations, responsibilities</w:t>
      </w:r>
      <w:r w:rsidR="00AA14CB">
        <w:t>,</w:t>
      </w:r>
      <w:r w:rsidRPr="003E1C82">
        <w:t xml:space="preserve"> and expectations</w:t>
      </w:r>
    </w:p>
    <w:p w14:paraId="04485CC6" w14:textId="38617250" w:rsidR="00EC4451" w:rsidRPr="003E1C82" w:rsidRDefault="00EC4451" w:rsidP="00EC4451">
      <w:pPr>
        <w:pStyle w:val="ListParagraph"/>
        <w:numPr>
          <w:ilvl w:val="0"/>
          <w:numId w:val="31"/>
        </w:numPr>
        <w:spacing w:after="0" w:line="240" w:lineRule="auto"/>
        <w:contextualSpacing w:val="0"/>
      </w:pPr>
      <w:r w:rsidRPr="003E1C82">
        <w:t>The obligations, responsibilities</w:t>
      </w:r>
      <w:r w:rsidR="00AA14CB">
        <w:t>,</w:t>
      </w:r>
      <w:r w:rsidRPr="003E1C82">
        <w:t xml:space="preserve"> and expectations create a framework for safe and secure health information exchange</w:t>
      </w:r>
      <w:r w:rsidR="00F06024" w:rsidRPr="003E1C82">
        <w:t>.</w:t>
      </w:r>
      <w:r w:rsidRPr="003E1C82">
        <w:t xml:space="preserve"> </w:t>
      </w:r>
      <w:r w:rsidR="00F06024" w:rsidRPr="003E1C82">
        <w:t>These</w:t>
      </w:r>
      <w:r w:rsidRPr="003E1C82">
        <w:t xml:space="preserve"> are designed to promote trust among </w:t>
      </w:r>
      <w:r w:rsidR="00AA14CB">
        <w:t>p</w:t>
      </w:r>
      <w:r w:rsidRPr="003E1C82">
        <w:t>articipants and protect the privacy, confidentiality</w:t>
      </w:r>
      <w:r w:rsidR="00AA14CB">
        <w:t>,</w:t>
      </w:r>
      <w:r w:rsidRPr="003E1C82">
        <w:t xml:space="preserve"> and security of the health data that is shared.</w:t>
      </w:r>
    </w:p>
    <w:p w14:paraId="671BC46F" w14:textId="62AC1D5F" w:rsidR="00EC4451" w:rsidRPr="003E1C82" w:rsidRDefault="00EC4451" w:rsidP="003E1C82">
      <w:pPr>
        <w:spacing w:before="240"/>
      </w:pPr>
      <w:r w:rsidRPr="003E1C82">
        <w:t xml:space="preserve">The DURSA was developed through an intensive effort facilitated by ONC, with consensus among a diverse group of private and state entities and federal agencies. As a living document, the agreement will be modified over time under the direction of the </w:t>
      </w:r>
      <w:r w:rsidR="00AA14CB">
        <w:t>c</w:t>
      </w:r>
      <w:r w:rsidRPr="003E1C82">
        <w:t xml:space="preserve">oordinating </w:t>
      </w:r>
      <w:r w:rsidR="00AA14CB">
        <w:t>c</w:t>
      </w:r>
      <w:r w:rsidRPr="003E1C82">
        <w:t>ommittee.</w:t>
      </w:r>
    </w:p>
    <w:p w14:paraId="2F4BD27B" w14:textId="77777777" w:rsidR="00EC4451" w:rsidRDefault="00EC4451" w:rsidP="00EC4451">
      <w:pPr>
        <w:pStyle w:val="Heading2"/>
      </w:pPr>
      <w:bookmarkStart w:id="13" w:name="_Toc9404323"/>
      <w:r w:rsidRPr="004C45D2">
        <w:t>NIST</w:t>
      </w:r>
      <w:r>
        <w:t>’s Cyber Security Framework</w:t>
      </w:r>
      <w:bookmarkEnd w:id="13"/>
    </w:p>
    <w:p w14:paraId="0AD691B4" w14:textId="26D81056" w:rsidR="00EC4451" w:rsidRPr="003E1C82" w:rsidRDefault="00EC4451" w:rsidP="003E1C82">
      <w:r w:rsidRPr="003E1C82">
        <w:t>The Framework for Improving Critical Infrastructure Cybersecurity (known as the Cybersecurity Framework), is a voluntary framework</w:t>
      </w:r>
      <w:r w:rsidR="009010EB">
        <w:t>. It</w:t>
      </w:r>
      <w:r w:rsidRPr="003E1C82">
        <w:t xml:space="preserve"> is a risk-based approach to managing cybersecurity </w:t>
      </w:r>
      <w:r w:rsidR="00E77470" w:rsidRPr="003E1C82">
        <w:t>risk and</w:t>
      </w:r>
      <w:r w:rsidRPr="003E1C82">
        <w:t xml:space="preserve"> is composed of three parts: the Framework Core, the Framework Implementation Tiers, and the Framework Profiles. Each Framework component reinforces the connection between business drivers and cybersecurity activities. It is comprised of standards, guidelines, and best practices to manage cybersecurity-related risk.  The Cybersecurity Framework’s prioritized, flexible, and cost-effective approach helps to promote the protection and resilience of critical infrastructure and other sectors important to the economy and national security</w:t>
      </w:r>
      <w:sdt>
        <w:sdtPr>
          <w:id w:val="-151065850"/>
          <w:citation/>
        </w:sdtPr>
        <w:sdtEndPr/>
        <w:sdtContent>
          <w:r w:rsidRPr="003E1C82">
            <w:fldChar w:fldCharType="begin"/>
          </w:r>
          <w:r w:rsidRPr="003E1C82">
            <w:instrText xml:space="preserve"> CITATION NIS \l 1033 </w:instrText>
          </w:r>
          <w:r w:rsidRPr="003E1C82">
            <w:fldChar w:fldCharType="separate"/>
          </w:r>
          <w:r w:rsidRPr="003E1C82">
            <w:rPr>
              <w:noProof/>
            </w:rPr>
            <w:t xml:space="preserve"> (NIST, n.d.)</w:t>
          </w:r>
          <w:r w:rsidRPr="003E1C82">
            <w:fldChar w:fldCharType="end"/>
          </w:r>
        </w:sdtContent>
      </w:sdt>
      <w:r w:rsidR="009010EB">
        <w:t>.</w:t>
      </w:r>
    </w:p>
    <w:p w14:paraId="42B7E618" w14:textId="43B08DD5" w:rsidR="00EC4451" w:rsidRPr="003E1C82" w:rsidRDefault="00EC4451" w:rsidP="003E1C82">
      <w:r w:rsidRPr="003E1C82">
        <w:t xml:space="preserve">NIST developed a publication, </w:t>
      </w:r>
      <w:hyperlink r:id="rId16" w:history="1">
        <w:r w:rsidRPr="002B75F8">
          <w:rPr>
            <w:rStyle w:val="Hyperlink"/>
          </w:rPr>
          <w:t>The Cybersecurity Framework: Implementation Guidance for Federal Agencies</w:t>
        </w:r>
      </w:hyperlink>
      <w:r w:rsidRPr="003E1C82">
        <w:t>, to assist federal agencies in strengthening their cybersecurity risk management</w:t>
      </w:r>
      <w:r w:rsidR="009010EB">
        <w:t xml:space="preserve">. The publication helps agencies </w:t>
      </w:r>
      <w:r w:rsidRPr="003E1C82">
        <w:t xml:space="preserve">determine an appropriate implementation of the Framework for Improving Critical Infrastructure Cybersecurity. Federal agencies can use the Cybersecurity Framework to complement the existing suite of NIST security and privacy risk management standards, guidelines, and practices developed in response to </w:t>
      </w:r>
      <w:r w:rsidR="009010EB">
        <w:t>FISMA</w:t>
      </w:r>
      <w:r w:rsidRPr="003E1C82">
        <w:t xml:space="preserve">, as amended. The relationship between the Cybersecurity Framework and the </w:t>
      </w:r>
      <w:r w:rsidR="009010EB">
        <w:t>NIST</w:t>
      </w:r>
      <w:r w:rsidRPr="003E1C82">
        <w:t xml:space="preserve"> Risk Management Framework are discussed in eight use cases. </w:t>
      </w:r>
    </w:p>
    <w:p w14:paraId="505036E9" w14:textId="1B4BB6FE" w:rsidR="00B70CEC" w:rsidRDefault="0045626C" w:rsidP="003E1C82">
      <w:pPr>
        <w:pStyle w:val="Heading2"/>
        <w:rPr>
          <w:rFonts w:eastAsia="Calibri"/>
          <w:shd w:val="clear" w:color="auto" w:fill="FFFFFF"/>
        </w:rPr>
      </w:pPr>
      <w:bookmarkStart w:id="14" w:name="_Toc9404324"/>
      <w:r>
        <w:rPr>
          <w:rFonts w:eastAsia="Calibri"/>
          <w:shd w:val="clear" w:color="auto" w:fill="FFFFFF"/>
        </w:rPr>
        <w:t xml:space="preserve">ONC’s </w:t>
      </w:r>
      <w:r w:rsidR="00B70CEC" w:rsidRPr="00B70CEC">
        <w:rPr>
          <w:rFonts w:eastAsia="Calibri"/>
          <w:shd w:val="clear" w:color="auto" w:fill="FFFFFF"/>
        </w:rPr>
        <w:t>Trusted Exchange Framework and Common Agreement</w:t>
      </w:r>
      <w:bookmarkEnd w:id="14"/>
    </w:p>
    <w:p w14:paraId="15123C0C" w14:textId="765D1675" w:rsidR="00492C9C" w:rsidRDefault="00492C9C" w:rsidP="00492C9C">
      <w:pPr>
        <w:pStyle w:val="Default"/>
        <w:rPr>
          <w:sz w:val="22"/>
          <w:szCs w:val="22"/>
        </w:rPr>
      </w:pPr>
      <w:r>
        <w:rPr>
          <w:sz w:val="22"/>
          <w:szCs w:val="22"/>
        </w:rPr>
        <w:t xml:space="preserve">While the HITECH Act of 2009 stimulated significant health IT adoption and exchange of </w:t>
      </w:r>
      <w:r w:rsidR="009010EB">
        <w:rPr>
          <w:sz w:val="22"/>
          <w:szCs w:val="22"/>
        </w:rPr>
        <w:t>e</w:t>
      </w:r>
      <w:r>
        <w:rPr>
          <w:sz w:val="22"/>
          <w:szCs w:val="22"/>
        </w:rPr>
        <w:t xml:space="preserve">lectronic </w:t>
      </w:r>
      <w:r w:rsidR="009010EB">
        <w:rPr>
          <w:sz w:val="22"/>
          <w:szCs w:val="22"/>
        </w:rPr>
        <w:t>h</w:t>
      </w:r>
      <w:r>
        <w:rPr>
          <w:sz w:val="22"/>
          <w:szCs w:val="22"/>
        </w:rPr>
        <w:t xml:space="preserve">ealth </w:t>
      </w:r>
      <w:r w:rsidR="009010EB">
        <w:rPr>
          <w:sz w:val="22"/>
          <w:szCs w:val="22"/>
        </w:rPr>
        <w:t>i</w:t>
      </w:r>
      <w:r>
        <w:rPr>
          <w:sz w:val="22"/>
          <w:szCs w:val="22"/>
        </w:rPr>
        <w:t>nformation with the goal of</w:t>
      </w:r>
      <w:r w:rsidR="009010EB">
        <w:rPr>
          <w:sz w:val="22"/>
          <w:szCs w:val="22"/>
        </w:rPr>
        <w:t xml:space="preserve"> providing</w:t>
      </w:r>
      <w:r>
        <w:rPr>
          <w:sz w:val="22"/>
          <w:szCs w:val="22"/>
        </w:rPr>
        <w:t xml:space="preserve"> every American </w:t>
      </w:r>
      <w:r w:rsidR="009010EB">
        <w:rPr>
          <w:sz w:val="22"/>
          <w:szCs w:val="22"/>
        </w:rPr>
        <w:t xml:space="preserve">with </w:t>
      </w:r>
      <w:r>
        <w:rPr>
          <w:sz w:val="22"/>
          <w:szCs w:val="22"/>
        </w:rPr>
        <w:t xml:space="preserve">access to their </w:t>
      </w:r>
      <w:r w:rsidR="009010EB">
        <w:rPr>
          <w:sz w:val="22"/>
          <w:szCs w:val="22"/>
        </w:rPr>
        <w:t>i</w:t>
      </w:r>
      <w:r>
        <w:rPr>
          <w:sz w:val="22"/>
          <w:szCs w:val="22"/>
        </w:rPr>
        <w:t xml:space="preserve">nformation, the interoperability </w:t>
      </w:r>
      <w:r w:rsidR="009010EB">
        <w:rPr>
          <w:sz w:val="22"/>
          <w:szCs w:val="22"/>
        </w:rPr>
        <w:t xml:space="preserve">needed to support this goal </w:t>
      </w:r>
      <w:r>
        <w:rPr>
          <w:sz w:val="22"/>
          <w:szCs w:val="22"/>
        </w:rPr>
        <w:t>remains a work in progress. The 21</w:t>
      </w:r>
      <w:r>
        <w:rPr>
          <w:sz w:val="14"/>
          <w:szCs w:val="14"/>
        </w:rPr>
        <w:t xml:space="preserve">st </w:t>
      </w:r>
      <w:r>
        <w:rPr>
          <w:sz w:val="22"/>
          <w:szCs w:val="22"/>
        </w:rPr>
        <w:t xml:space="preserve">Century Cures Act’s (Cures Act) </w:t>
      </w:r>
      <w:r w:rsidR="002D1143">
        <w:rPr>
          <w:sz w:val="14"/>
          <w:szCs w:val="14"/>
        </w:rPr>
        <w:t>2</w:t>
      </w:r>
      <w:r w:rsidR="009010EB">
        <w:rPr>
          <w:sz w:val="14"/>
          <w:szCs w:val="14"/>
        </w:rPr>
        <w:t xml:space="preserve"> </w:t>
      </w:r>
      <w:r>
        <w:rPr>
          <w:sz w:val="22"/>
          <w:szCs w:val="22"/>
        </w:rPr>
        <w:t xml:space="preserve">focus on trusted exchange is an important next step toward </w:t>
      </w:r>
      <w:r w:rsidR="009010EB">
        <w:rPr>
          <w:sz w:val="22"/>
          <w:szCs w:val="22"/>
        </w:rPr>
        <w:t>establishing</w:t>
      </w:r>
      <w:r>
        <w:rPr>
          <w:sz w:val="22"/>
          <w:szCs w:val="22"/>
        </w:rPr>
        <w:t xml:space="preserve"> an interoperable health system that: </w:t>
      </w:r>
    </w:p>
    <w:p w14:paraId="21B939A4" w14:textId="77777777" w:rsidR="00492C9C" w:rsidRDefault="00492C9C" w:rsidP="00492C9C">
      <w:pPr>
        <w:pStyle w:val="Default"/>
        <w:rPr>
          <w:sz w:val="22"/>
          <w:szCs w:val="22"/>
        </w:rPr>
      </w:pPr>
    </w:p>
    <w:p w14:paraId="7796452A" w14:textId="4FF4C63E" w:rsidR="00492C9C" w:rsidRDefault="00492C9C" w:rsidP="005A1638">
      <w:pPr>
        <w:pStyle w:val="Default"/>
        <w:numPr>
          <w:ilvl w:val="0"/>
          <w:numId w:val="37"/>
        </w:numPr>
        <w:rPr>
          <w:sz w:val="22"/>
          <w:szCs w:val="22"/>
        </w:rPr>
      </w:pPr>
      <w:r>
        <w:rPr>
          <w:sz w:val="22"/>
          <w:szCs w:val="22"/>
        </w:rPr>
        <w:t xml:space="preserve">Empowers individuals to use their </w:t>
      </w:r>
      <w:r w:rsidR="009010EB">
        <w:rPr>
          <w:sz w:val="22"/>
          <w:szCs w:val="22"/>
        </w:rPr>
        <w:t>e</w:t>
      </w:r>
      <w:r>
        <w:rPr>
          <w:sz w:val="22"/>
          <w:szCs w:val="22"/>
        </w:rPr>
        <w:t xml:space="preserve">lectronic </w:t>
      </w:r>
      <w:r w:rsidR="009010EB">
        <w:rPr>
          <w:sz w:val="22"/>
          <w:szCs w:val="22"/>
        </w:rPr>
        <w:t>h</w:t>
      </w:r>
      <w:r>
        <w:rPr>
          <w:sz w:val="22"/>
          <w:szCs w:val="22"/>
        </w:rPr>
        <w:t xml:space="preserve">ealth </w:t>
      </w:r>
      <w:r w:rsidR="009010EB">
        <w:rPr>
          <w:sz w:val="22"/>
          <w:szCs w:val="22"/>
        </w:rPr>
        <w:t>i</w:t>
      </w:r>
      <w:r>
        <w:rPr>
          <w:sz w:val="22"/>
          <w:szCs w:val="22"/>
        </w:rPr>
        <w:t xml:space="preserve">nformation to the fullest extent </w:t>
      </w:r>
    </w:p>
    <w:p w14:paraId="2DCF331B" w14:textId="7C6607DE" w:rsidR="00492C9C" w:rsidRDefault="00492C9C" w:rsidP="005A1638">
      <w:pPr>
        <w:pStyle w:val="Default"/>
        <w:numPr>
          <w:ilvl w:val="0"/>
          <w:numId w:val="37"/>
        </w:numPr>
        <w:rPr>
          <w:sz w:val="22"/>
          <w:szCs w:val="22"/>
        </w:rPr>
      </w:pPr>
      <w:r>
        <w:rPr>
          <w:sz w:val="22"/>
          <w:szCs w:val="22"/>
        </w:rPr>
        <w:t>Enables providers and communities to deliver smarter, safer, and more efficient care</w:t>
      </w:r>
      <w:r w:rsidR="009010EB">
        <w:rPr>
          <w:sz w:val="22"/>
          <w:szCs w:val="22"/>
        </w:rPr>
        <w:t xml:space="preserve"> </w:t>
      </w:r>
    </w:p>
    <w:p w14:paraId="1D0245B5" w14:textId="7148DD8F" w:rsidR="00492C9C" w:rsidRPr="00492C9C" w:rsidRDefault="00492C9C" w:rsidP="005A1638">
      <w:pPr>
        <w:pStyle w:val="Default"/>
        <w:numPr>
          <w:ilvl w:val="0"/>
          <w:numId w:val="37"/>
        </w:numPr>
        <w:rPr>
          <w:sz w:val="22"/>
          <w:szCs w:val="22"/>
        </w:rPr>
      </w:pPr>
      <w:r>
        <w:rPr>
          <w:sz w:val="22"/>
          <w:szCs w:val="22"/>
        </w:rPr>
        <w:t>P</w:t>
      </w:r>
      <w:r w:rsidRPr="00492C9C">
        <w:rPr>
          <w:sz w:val="22"/>
          <w:szCs w:val="22"/>
        </w:rPr>
        <w:t>romotes innovation at all levels</w:t>
      </w:r>
    </w:p>
    <w:p w14:paraId="7B38E49A" w14:textId="77777777" w:rsidR="00492C9C" w:rsidRDefault="00492C9C" w:rsidP="00492C9C">
      <w:pPr>
        <w:pStyle w:val="Default"/>
        <w:rPr>
          <w:sz w:val="22"/>
          <w:szCs w:val="22"/>
        </w:rPr>
      </w:pPr>
    </w:p>
    <w:p w14:paraId="434D19DE" w14:textId="50B6733E" w:rsidR="009046B6" w:rsidRDefault="009046B6" w:rsidP="009046B6">
      <w:r>
        <w:t>In the Cures Act, Congress identified the importance of interoperability and laid out a path for establis</w:t>
      </w:r>
      <w:r w:rsidR="009010EB">
        <w:t xml:space="preserve">hing the </w:t>
      </w:r>
      <w:r>
        <w:t xml:space="preserve">interoperable exchange of </w:t>
      </w:r>
      <w:r w:rsidR="009010EB">
        <w:t>e</w:t>
      </w:r>
      <w:r>
        <w:t xml:space="preserve">lectronic </w:t>
      </w:r>
      <w:r w:rsidR="009010EB">
        <w:t>h</w:t>
      </w:r>
      <w:r>
        <w:t xml:space="preserve">ealth </w:t>
      </w:r>
      <w:r w:rsidR="009010EB">
        <w:t>i</w:t>
      </w:r>
      <w:r>
        <w:t xml:space="preserve">nformation. In collaboration with </w:t>
      </w:r>
      <w:r w:rsidR="009010EB">
        <w:t>NIST</w:t>
      </w:r>
      <w:r>
        <w:t xml:space="preserve">, federal agencies, industry stakeholders, </w:t>
      </w:r>
      <w:r w:rsidR="00E93A62">
        <w:t xml:space="preserve">and </w:t>
      </w:r>
      <w:r>
        <w:t xml:space="preserve">ONC </w:t>
      </w:r>
      <w:r w:rsidR="00E93A62">
        <w:t>are</w:t>
      </w:r>
      <w:r>
        <w:t xml:space="preserve"> working diligently to further advance the interoperability progress made to date and</w:t>
      </w:r>
      <w:r w:rsidR="00E93A62">
        <w:t xml:space="preserve"> to</w:t>
      </w:r>
      <w:r>
        <w:t xml:space="preserve"> address </w:t>
      </w:r>
      <w:r w:rsidR="00E93A62">
        <w:t>a</w:t>
      </w:r>
      <w:r>
        <w:t xml:space="preserve"> complex</w:t>
      </w:r>
      <w:r w:rsidR="00E93A62">
        <w:t>-</w:t>
      </w:r>
      <w:r>
        <w:t>yet</w:t>
      </w:r>
      <w:r w:rsidR="00E93A62">
        <w:t>-</w:t>
      </w:r>
      <w:r>
        <w:t xml:space="preserve">core tenet of interoperability—building and maintaining trust. Among other provisions, in Section 4003, Congress directed ONC to </w:t>
      </w:r>
      <w:r>
        <w:lastRenderedPageBreak/>
        <w:t>“develop or support a trusted exchange framework, including a common agreement among health information networks nationally,” which may include:</w:t>
      </w:r>
    </w:p>
    <w:p w14:paraId="7FE62D1D" w14:textId="77777777" w:rsidR="009046B6" w:rsidRDefault="009046B6" w:rsidP="005A1638">
      <w:pPr>
        <w:ind w:left="720"/>
      </w:pPr>
      <w:r>
        <w:t>“(I) a common method for authenticating trusted health information network participants;</w:t>
      </w:r>
    </w:p>
    <w:p w14:paraId="3C5DBF13" w14:textId="77777777" w:rsidR="009046B6" w:rsidRDefault="009046B6" w:rsidP="005A1638">
      <w:pPr>
        <w:ind w:left="720"/>
      </w:pPr>
      <w:r>
        <w:t>“(II) a common set of rules for trusted exchange;</w:t>
      </w:r>
    </w:p>
    <w:p w14:paraId="73781A62" w14:textId="77777777" w:rsidR="009046B6" w:rsidRDefault="009046B6" w:rsidP="005A1638">
      <w:pPr>
        <w:ind w:left="720"/>
      </w:pPr>
      <w:r>
        <w:t>“(III) organizational and operational policies to enable the exchange of health information among networks, including minimum conditions for such exchange to occur; and</w:t>
      </w:r>
    </w:p>
    <w:p w14:paraId="619923AD" w14:textId="18C89206" w:rsidR="009046B6" w:rsidRDefault="009046B6" w:rsidP="005A1638">
      <w:pPr>
        <w:ind w:left="720"/>
      </w:pPr>
      <w:r>
        <w:t>“(IV) a process for filing and adjudicating noncompliance with the terms of the common agreement.6</w:t>
      </w:r>
    </w:p>
    <w:p w14:paraId="6196A1C8" w14:textId="0FBC75D6" w:rsidR="009046B6" w:rsidRDefault="009046B6" w:rsidP="009046B6">
      <w:r>
        <w:t xml:space="preserve">The </w:t>
      </w:r>
      <w:r w:rsidR="002B75F8">
        <w:t xml:space="preserve">ONC’s </w:t>
      </w:r>
      <w:r>
        <w:t xml:space="preserve">vision </w:t>
      </w:r>
      <w:r w:rsidR="002B75F8">
        <w:t xml:space="preserve">is to </w:t>
      </w:r>
      <w:r>
        <w:t>seek to achieve a system where individuals are at the center of their care and where providers have the ability to securely access and use health information from different sources</w:t>
      </w:r>
      <w:r w:rsidR="00E93A62">
        <w:t>; a</w:t>
      </w:r>
      <w:r>
        <w:t xml:space="preserve"> system where an individual’s health information is not limited to what is stored in EHRs, but</w:t>
      </w:r>
      <w:r w:rsidR="00F84414">
        <w:t xml:space="preserve"> also</w:t>
      </w:r>
      <w:r>
        <w:t xml:space="preserve"> includes information from many different sources (including technologies that individuals use every day) and provides a longitudinal picture of their health. Additionally, </w:t>
      </w:r>
      <w:r w:rsidR="002B75F8">
        <w:t>this will enable</w:t>
      </w:r>
      <w:r>
        <w:t xml:space="preserve"> a system where public health agencies and researchers can rapidly learn, develop, and deliver cutting edge treatments by having secure, appropriate access to </w:t>
      </w:r>
      <w:r w:rsidR="00E93A62">
        <w:t>e</w:t>
      </w:r>
      <w:r>
        <w:t xml:space="preserve">lectronic </w:t>
      </w:r>
      <w:r w:rsidR="00E93A62">
        <w:t>h</w:t>
      </w:r>
      <w:r>
        <w:t xml:space="preserve">ealth </w:t>
      </w:r>
      <w:r w:rsidR="00E93A62">
        <w:t>i</w:t>
      </w:r>
      <w:r>
        <w:t xml:space="preserve">nformation. </w:t>
      </w:r>
    </w:p>
    <w:p w14:paraId="5A0937F0" w14:textId="77777777" w:rsidR="006264A0" w:rsidRDefault="00591101" w:rsidP="00C16846">
      <w:pPr>
        <w:pStyle w:val="Heading1"/>
        <w:rPr>
          <w:rFonts w:eastAsia="Calibri Light"/>
        </w:rPr>
      </w:pPr>
      <w:bookmarkStart w:id="15" w:name="_Toc9404325"/>
      <w:r>
        <w:rPr>
          <w:rFonts w:eastAsia="Calibri Light"/>
        </w:rPr>
        <w:t>Conclusion</w:t>
      </w:r>
      <w:bookmarkEnd w:id="15"/>
      <w:r>
        <w:rPr>
          <w:rFonts w:eastAsia="Calibri Light"/>
        </w:rPr>
        <w:t xml:space="preserve"> </w:t>
      </w:r>
    </w:p>
    <w:p w14:paraId="31759252" w14:textId="22454B03" w:rsidR="004435F9" w:rsidRDefault="00B70CEC" w:rsidP="00B70CEC">
      <w:pPr>
        <w:rPr>
          <w:rFonts w:ascii="Calibri" w:eastAsia="Calibri" w:hAnsi="Calibri" w:cs="Calibri"/>
        </w:rPr>
      </w:pPr>
      <w:r w:rsidRPr="00B70CEC">
        <w:rPr>
          <w:rFonts w:ascii="Calibri" w:eastAsia="Calibri" w:hAnsi="Calibri" w:cs="Calibri"/>
        </w:rPr>
        <w:t>NIEM is currently supporting the</w:t>
      </w:r>
      <w:r w:rsidR="00841B9E">
        <w:rPr>
          <w:rFonts w:ascii="Calibri" w:eastAsia="Calibri" w:hAnsi="Calibri" w:cs="Calibri"/>
        </w:rPr>
        <w:t xml:space="preserve"> secure and private</w:t>
      </w:r>
      <w:r w:rsidRPr="00B70CEC">
        <w:rPr>
          <w:rFonts w:ascii="Calibri" w:eastAsia="Calibri" w:hAnsi="Calibri" w:cs="Calibri"/>
        </w:rPr>
        <w:t xml:space="preserve"> exchange of information in production today. As NIEM's adoption continues to grow, non-clinical domains that utilize health data elements for information exchange will require clinical informatics subject matter expertise to </w:t>
      </w:r>
      <w:r w:rsidR="00841B9E">
        <w:rPr>
          <w:rFonts w:ascii="Calibri" w:eastAsia="Calibri" w:hAnsi="Calibri" w:cs="Calibri"/>
        </w:rPr>
        <w:t>securely and privately</w:t>
      </w:r>
      <w:r w:rsidRPr="00B70CEC">
        <w:rPr>
          <w:rFonts w:ascii="Calibri" w:eastAsia="Calibri" w:hAnsi="Calibri" w:cs="Calibri"/>
        </w:rPr>
        <w:t xml:space="preserve"> navigate through the complexities of the </w:t>
      </w:r>
      <w:r w:rsidR="00E93A62">
        <w:rPr>
          <w:rFonts w:ascii="Calibri" w:eastAsia="Calibri" w:hAnsi="Calibri" w:cs="Calibri"/>
        </w:rPr>
        <w:t>health I</w:t>
      </w:r>
      <w:r w:rsidRPr="00B70CEC">
        <w:rPr>
          <w:rFonts w:ascii="Calibri" w:eastAsia="Calibri" w:hAnsi="Calibri" w:cs="Calibri"/>
        </w:rPr>
        <w:t>T/HIE</w:t>
      </w:r>
      <w:r w:rsidR="00E93A62">
        <w:rPr>
          <w:rFonts w:ascii="Calibri" w:eastAsia="Calibri" w:hAnsi="Calibri" w:cs="Calibri"/>
        </w:rPr>
        <w:t>.</w:t>
      </w:r>
    </w:p>
    <w:p w14:paraId="15C6CE41" w14:textId="77777777" w:rsidR="00325504" w:rsidRDefault="00325504" w:rsidP="00325504">
      <w:pPr>
        <w:rPr>
          <w:rFonts w:ascii="Calibri" w:eastAsia="Calibri" w:hAnsi="Calibri" w:cs="Calibri"/>
        </w:rPr>
      </w:pPr>
    </w:p>
    <w:p w14:paraId="6A598A71" w14:textId="06E3448C" w:rsidR="00325504" w:rsidRDefault="004435F9" w:rsidP="00325504">
      <w:pPr>
        <w:rPr>
          <w:rFonts w:ascii="Calibri" w:eastAsia="Calibri" w:hAnsi="Calibri" w:cs="Calibri"/>
        </w:rPr>
      </w:pPr>
      <w:r>
        <w:rPr>
          <w:rFonts w:ascii="Calibri" w:eastAsia="Calibri" w:hAnsi="Calibri" w:cs="Calibri"/>
        </w:rPr>
        <w:br w:type="page"/>
      </w:r>
    </w:p>
    <w:p w14:paraId="57C9536C" w14:textId="1E7935A0" w:rsidR="00325504" w:rsidRDefault="00325504" w:rsidP="00325504">
      <w:pPr>
        <w:pStyle w:val="Heading1"/>
        <w:rPr>
          <w:rFonts w:eastAsia="Calibri"/>
        </w:rPr>
      </w:pPr>
      <w:bookmarkStart w:id="16" w:name="_Toc9404326"/>
      <w:r>
        <w:rPr>
          <w:rFonts w:eastAsia="Calibri"/>
        </w:rPr>
        <w:lastRenderedPageBreak/>
        <w:t>Appendix.</w:t>
      </w:r>
      <w:bookmarkEnd w:id="16"/>
    </w:p>
    <w:p w14:paraId="2B0B0D19" w14:textId="77777777" w:rsidR="00325504" w:rsidRPr="00325504" w:rsidRDefault="00325504" w:rsidP="00325504"/>
    <w:tbl>
      <w:tblPr>
        <w:tblpPr w:leftFromText="180" w:rightFromText="180" w:vertAnchor="text" w:tblpX="74" w:tblpY="1"/>
        <w:tblOverlap w:val="never"/>
        <w:tblW w:w="10448" w:type="dxa"/>
        <w:tblLayout w:type="fixed"/>
        <w:tblCellMar>
          <w:left w:w="0" w:type="dxa"/>
          <w:right w:w="0" w:type="dxa"/>
        </w:tblCellMar>
        <w:tblLook w:val="04A0" w:firstRow="1" w:lastRow="0" w:firstColumn="1" w:lastColumn="0" w:noHBand="0" w:noVBand="1"/>
      </w:tblPr>
      <w:tblGrid>
        <w:gridCol w:w="2250"/>
        <w:gridCol w:w="8198"/>
      </w:tblGrid>
      <w:tr w:rsidR="00325504" w:rsidRPr="0054080A" w14:paraId="44DAE07D" w14:textId="77777777" w:rsidTr="00583887">
        <w:trPr>
          <w:tblHeader/>
        </w:trPr>
        <w:tc>
          <w:tcPr>
            <w:tcW w:w="2250"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820F156" w14:textId="77777777" w:rsidR="00325504" w:rsidRPr="00A4306C" w:rsidRDefault="00325504" w:rsidP="00583887">
            <w:pPr>
              <w:spacing w:after="0" w:line="240" w:lineRule="auto"/>
              <w:rPr>
                <w:rFonts w:eastAsia="Times New Roman" w:cstheme="minorHAnsi"/>
                <w:b/>
                <w:bCs/>
                <w:sz w:val="20"/>
                <w:szCs w:val="20"/>
              </w:rPr>
            </w:pPr>
            <w:r w:rsidRPr="00A4306C">
              <w:rPr>
                <w:rFonts w:eastAsia="Times New Roman" w:cstheme="minorHAnsi"/>
                <w:b/>
                <w:bCs/>
                <w:sz w:val="20"/>
                <w:szCs w:val="20"/>
              </w:rPr>
              <w:t>Publication</w:t>
            </w:r>
          </w:p>
        </w:tc>
        <w:tc>
          <w:tcPr>
            <w:tcW w:w="8198" w:type="dxa"/>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2D73360" w14:textId="77777777" w:rsidR="00325504" w:rsidRPr="00A4306C" w:rsidRDefault="00325504" w:rsidP="00583887">
            <w:pPr>
              <w:spacing w:after="0" w:line="240" w:lineRule="auto"/>
              <w:rPr>
                <w:rFonts w:eastAsia="Times New Roman" w:cstheme="minorHAnsi"/>
                <w:b/>
                <w:bCs/>
                <w:sz w:val="20"/>
                <w:szCs w:val="20"/>
              </w:rPr>
            </w:pPr>
            <w:r w:rsidRPr="00A4306C">
              <w:rPr>
                <w:rFonts w:eastAsia="Times New Roman" w:cstheme="minorHAnsi"/>
                <w:b/>
                <w:bCs/>
                <w:sz w:val="20"/>
                <w:szCs w:val="20"/>
              </w:rPr>
              <w:t>Abstract and References</w:t>
            </w:r>
          </w:p>
        </w:tc>
      </w:tr>
      <w:tr w:rsidR="00325504" w:rsidRPr="0054080A" w14:paraId="6104BCDD"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BE2E392"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SP 800-37</w:t>
            </w:r>
          </w:p>
          <w:p w14:paraId="6A410871" w14:textId="27A74F20"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Guide for Applying the Risk Management Framework to Federal Information Systems: </w:t>
            </w:r>
            <w:r w:rsidRPr="0054080A">
              <w:rPr>
                <w:rFonts w:eastAsia="Times New Roman" w:cstheme="minorHAnsi"/>
                <w:sz w:val="20"/>
                <w:szCs w:val="20"/>
              </w:rPr>
              <w:t>A</w:t>
            </w:r>
            <w:r w:rsidRPr="00A4306C">
              <w:rPr>
                <w:rFonts w:eastAsia="Times New Roman" w:cstheme="minorHAnsi"/>
                <w:sz w:val="20"/>
                <w:szCs w:val="20"/>
              </w:rPr>
              <w:t xml:space="preserve"> Security Life Cycle Approach</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5BEDBDED"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The purpose of SP 800-37 Rev 1 is to provide guidelines for applying the Risk Management Framework to federal information systems to include conducting the activities of security categorization, security control selection and implementation, security control assessment, information system authorization, and security control monitoring.</w:t>
            </w:r>
          </w:p>
          <w:p w14:paraId="4A9C15FF" w14:textId="77777777" w:rsidR="00325504" w:rsidRPr="00A4306C" w:rsidRDefault="00042C3D" w:rsidP="00583887">
            <w:pPr>
              <w:numPr>
                <w:ilvl w:val="0"/>
                <w:numId w:val="16"/>
              </w:numPr>
              <w:spacing w:before="100" w:beforeAutospacing="1" w:after="100" w:afterAutospacing="1" w:line="240" w:lineRule="auto"/>
              <w:ind w:left="300"/>
              <w:rPr>
                <w:rFonts w:eastAsia="Times New Roman" w:cstheme="minorHAnsi"/>
                <w:sz w:val="20"/>
                <w:szCs w:val="20"/>
              </w:rPr>
            </w:pPr>
            <w:hyperlink r:id="rId17" w:history="1">
              <w:r w:rsidR="00325504" w:rsidRPr="0054080A">
                <w:rPr>
                  <w:rFonts w:eastAsia="Times New Roman" w:cstheme="minorHAnsi"/>
                  <w:color w:val="003366"/>
                  <w:sz w:val="20"/>
                  <w:szCs w:val="20"/>
                  <w:u w:val="single"/>
                </w:rPr>
                <w:t>https://csrc.nist.gov/publications/detail/sp/800-37/rev-1/final</w:t>
              </w:r>
            </w:hyperlink>
          </w:p>
        </w:tc>
      </w:tr>
      <w:tr w:rsidR="00325504" w:rsidRPr="0054080A" w14:paraId="78F3BCCE"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0DCE5357"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SP 800-63r3</w:t>
            </w:r>
          </w:p>
          <w:p w14:paraId="3F5FD70B"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Digital Identity Guidelines</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5AC9A1CD" w14:textId="575B899B"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These guidelines provide technical requirements for federal agencies implementing digital identity services and are not intended to constrain the development or use of standards outside of this purpose. The guidelines cover identity proofing and authentication of users (such as employees, contractors, or private individuals) interacting with government IT systems over open networks. They define technical requirements in each of the areas of identity proofing</w:t>
            </w:r>
            <w:r w:rsidR="00325F24">
              <w:rPr>
                <w:rFonts w:eastAsia="Times New Roman" w:cstheme="minorHAnsi"/>
                <w:sz w:val="20"/>
                <w:szCs w:val="20"/>
              </w:rPr>
              <w:t>:</w:t>
            </w:r>
            <w:r w:rsidR="00325F24" w:rsidRPr="00A4306C">
              <w:rPr>
                <w:rFonts w:eastAsia="Times New Roman" w:cstheme="minorHAnsi"/>
                <w:sz w:val="20"/>
                <w:szCs w:val="20"/>
              </w:rPr>
              <w:t xml:space="preserve"> </w:t>
            </w:r>
            <w:r w:rsidRPr="00A4306C">
              <w:rPr>
                <w:rFonts w:eastAsia="Times New Roman" w:cstheme="minorHAnsi"/>
                <w:sz w:val="20"/>
                <w:szCs w:val="20"/>
              </w:rPr>
              <w:t>registration, authenticators, management processes, authentication protocols, federation, and related assertions. This publication supersedes NIST Special Publication 800-63-2. </w:t>
            </w:r>
          </w:p>
          <w:p w14:paraId="04512964" w14:textId="77777777" w:rsidR="00325504" w:rsidRPr="00A4306C" w:rsidRDefault="00042C3D" w:rsidP="00583887">
            <w:pPr>
              <w:spacing w:after="0" w:line="240" w:lineRule="auto"/>
              <w:rPr>
                <w:rFonts w:eastAsia="Times New Roman" w:cstheme="minorHAnsi"/>
                <w:sz w:val="20"/>
                <w:szCs w:val="20"/>
              </w:rPr>
            </w:pPr>
            <w:hyperlink r:id="rId18" w:history="1">
              <w:r w:rsidR="00325504" w:rsidRPr="0054080A">
                <w:rPr>
                  <w:rFonts w:eastAsia="Times New Roman" w:cstheme="minorHAnsi"/>
                  <w:color w:val="003366"/>
                  <w:sz w:val="20"/>
                  <w:szCs w:val="20"/>
                  <w:u w:val="single"/>
                </w:rPr>
                <w:t>https://pages.nist.gov/800-63-3/sp800-63-3.html</w:t>
              </w:r>
            </w:hyperlink>
          </w:p>
          <w:p w14:paraId="38AD94BB" w14:textId="77777777" w:rsidR="00325504" w:rsidRPr="00A4306C" w:rsidRDefault="00325504" w:rsidP="00583887">
            <w:pPr>
              <w:numPr>
                <w:ilvl w:val="0"/>
                <w:numId w:val="1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Section A - </w:t>
            </w:r>
            <w:r w:rsidRPr="0054080A">
              <w:rPr>
                <w:rFonts w:eastAsia="Times New Roman" w:cstheme="minorHAnsi"/>
                <w:i/>
                <w:iCs/>
                <w:sz w:val="20"/>
                <w:szCs w:val="20"/>
              </w:rPr>
              <w:t>Enrollment and Identity Proofing Requirements</w:t>
            </w:r>
          </w:p>
          <w:p w14:paraId="762F94A2" w14:textId="77777777" w:rsidR="00325504" w:rsidRPr="00A4306C" w:rsidRDefault="00325504" w:rsidP="00583887">
            <w:pPr>
              <w:numPr>
                <w:ilvl w:val="0"/>
                <w:numId w:val="1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Section B - </w:t>
            </w:r>
            <w:r w:rsidRPr="0054080A">
              <w:rPr>
                <w:rFonts w:eastAsia="Times New Roman" w:cstheme="minorHAnsi"/>
                <w:i/>
                <w:iCs/>
                <w:sz w:val="20"/>
                <w:szCs w:val="20"/>
              </w:rPr>
              <w:t>Authentication and Lifecycle Management</w:t>
            </w:r>
          </w:p>
          <w:p w14:paraId="1A660EBA" w14:textId="77777777" w:rsidR="00325504" w:rsidRPr="00A4306C" w:rsidRDefault="00325504" w:rsidP="00583887">
            <w:pPr>
              <w:numPr>
                <w:ilvl w:val="0"/>
                <w:numId w:val="1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Section C – </w:t>
            </w:r>
            <w:r w:rsidRPr="0054080A">
              <w:rPr>
                <w:rFonts w:eastAsia="Times New Roman" w:cstheme="minorHAnsi"/>
                <w:i/>
                <w:iCs/>
                <w:sz w:val="20"/>
                <w:szCs w:val="20"/>
              </w:rPr>
              <w:t>Federation and Assertions</w:t>
            </w:r>
          </w:p>
          <w:p w14:paraId="584FC36B" w14:textId="77777777" w:rsidR="00325504" w:rsidRPr="00A4306C" w:rsidRDefault="00325504" w:rsidP="00583887">
            <w:pPr>
              <w:numPr>
                <w:ilvl w:val="0"/>
                <w:numId w:val="1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Section D – </w:t>
            </w:r>
            <w:r w:rsidRPr="0054080A">
              <w:rPr>
                <w:rFonts w:eastAsia="Times New Roman" w:cstheme="minorHAnsi"/>
                <w:i/>
                <w:iCs/>
                <w:sz w:val="20"/>
                <w:szCs w:val="20"/>
              </w:rPr>
              <w:t>Identity Assertions</w:t>
            </w:r>
          </w:p>
          <w:p w14:paraId="0708D583" w14:textId="77777777" w:rsidR="00325504" w:rsidRPr="00A4306C" w:rsidRDefault="00042C3D" w:rsidP="00583887">
            <w:pPr>
              <w:spacing w:after="0" w:line="240" w:lineRule="auto"/>
              <w:rPr>
                <w:rFonts w:eastAsia="Times New Roman" w:cstheme="minorHAnsi"/>
                <w:sz w:val="20"/>
                <w:szCs w:val="20"/>
              </w:rPr>
            </w:pPr>
            <w:hyperlink r:id="rId19" w:history="1">
              <w:r w:rsidR="00325504" w:rsidRPr="0054080A">
                <w:rPr>
                  <w:rFonts w:eastAsia="Times New Roman" w:cstheme="minorHAnsi"/>
                  <w:color w:val="003366"/>
                  <w:sz w:val="20"/>
                  <w:szCs w:val="20"/>
                  <w:u w:val="single"/>
                </w:rPr>
                <w:t>https://github.com/usnistgov/800-63-3/tree/volume-d</w:t>
              </w:r>
            </w:hyperlink>
            <w:r w:rsidR="00325504" w:rsidRPr="00A4306C">
              <w:rPr>
                <w:rFonts w:eastAsia="Times New Roman" w:cstheme="minorHAnsi"/>
                <w:sz w:val="20"/>
                <w:szCs w:val="20"/>
              </w:rPr>
              <w:t> (link to NIST document repository for Part D, Identity Assertion, yet to be released)</w:t>
            </w:r>
          </w:p>
        </w:tc>
      </w:tr>
      <w:tr w:rsidR="00325504" w:rsidRPr="0054080A" w14:paraId="55318452"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399F3036"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SP 800-122</w:t>
            </w:r>
          </w:p>
          <w:p w14:paraId="2B094762"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Guide to Protecting the Confidentiality of Personally Identifiable Information (PII)</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E04442F" w14:textId="6DBADF24"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The purpose of this document is to assist </w:t>
            </w:r>
            <w:r w:rsidR="00325F24">
              <w:rPr>
                <w:rFonts w:eastAsia="Times New Roman" w:cstheme="minorHAnsi"/>
                <w:sz w:val="20"/>
                <w:szCs w:val="20"/>
              </w:rPr>
              <w:t>f</w:t>
            </w:r>
            <w:r w:rsidRPr="00A4306C">
              <w:rPr>
                <w:rFonts w:eastAsia="Times New Roman" w:cstheme="minorHAnsi"/>
                <w:sz w:val="20"/>
                <w:szCs w:val="20"/>
              </w:rPr>
              <w:t>ederal agencies in protecting the confidentiality of personally identifiable information (PII) in information systems. The document explains the importance of protecting the confidentiality of PII in the context of information security and explains its relationship to privacy using the the Fair Information Practices, which are the principles underlying most privacy laws and privacy best practices. PII should be protected from inappropriate access, use, and disclosure. This document provides practical, context-based guidance for identifying PII and determining what level of protection is appropriate for each instance of PII. The document also suggests safeguards that may offer appropriate levels of protection for PII and provides recommendations for developing response plans for incidents involving PII. Organizations are encouraged to tailor the recommendations to meet their specific requirements.</w:t>
            </w:r>
          </w:p>
          <w:p w14:paraId="24B880CA" w14:textId="77777777" w:rsidR="00325504" w:rsidRPr="00A4306C" w:rsidRDefault="00042C3D" w:rsidP="00583887">
            <w:pPr>
              <w:spacing w:after="0" w:line="240" w:lineRule="auto"/>
              <w:rPr>
                <w:rFonts w:eastAsia="Times New Roman" w:cstheme="minorHAnsi"/>
                <w:sz w:val="20"/>
                <w:szCs w:val="20"/>
              </w:rPr>
            </w:pPr>
            <w:hyperlink r:id="rId20" w:history="1">
              <w:r w:rsidR="00325504" w:rsidRPr="0054080A">
                <w:rPr>
                  <w:rFonts w:eastAsia="Times New Roman" w:cstheme="minorHAnsi"/>
                  <w:color w:val="003366"/>
                  <w:sz w:val="20"/>
                  <w:szCs w:val="20"/>
                  <w:u w:val="single"/>
                </w:rPr>
                <w:t>http://nvlpubs.nist.gov/nistpubs/Legacy/SP/nistspecialpublication800-122.pdf</w:t>
              </w:r>
            </w:hyperlink>
          </w:p>
        </w:tc>
      </w:tr>
      <w:tr w:rsidR="00325504" w:rsidRPr="0054080A" w14:paraId="5790655C"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7AE2DCE"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SP 800-171</w:t>
            </w:r>
          </w:p>
          <w:p w14:paraId="202026E2"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Protecting Controlled Unclassified Information in Nonfederal Systems and Organizations </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0C8066EC"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The protection of Controlled Unclassified Information (CUI) while residing in nonfederal information systems and organizations is of paramount importance to federal agencies and can directly impact the ability of the federal government to successfully carry out its designated missions and business operations. This publication provides federal agencies with recommended requirements for protecting the confidentiality of CUI: (i) when the CUI is resident in nonfederal information systems and organizations; (ii) when the information systems where the CUI resides are not used or operated by contractors of federal agencies or other organizations on behalf of those agencies; and (iii) where there are no specific safeguarding requirements for protecting </w:t>
            </w:r>
            <w:r w:rsidRPr="00A4306C">
              <w:rPr>
                <w:rFonts w:eastAsia="Times New Roman" w:cstheme="minorHAnsi"/>
                <w:sz w:val="20"/>
                <w:szCs w:val="20"/>
              </w:rPr>
              <w:lastRenderedPageBreak/>
              <w:t>the confidentiality of CUI prescribed by the authorizing law, regulation, or governmentwide policy for the CUI category or subcategory listed in the CUI Registry. The requirements apply to all components of nonfederal information systems and organizations that process, store, or transmit CUI, or provide security protection for such components. The CUI requirements are intended for use by federal agencies in contractual vehicles or other agreements established between those agencies and nonfederal organizations. </w:t>
            </w:r>
          </w:p>
          <w:p w14:paraId="34F935C4" w14:textId="77777777" w:rsidR="00325504" w:rsidRPr="00A4306C" w:rsidRDefault="00042C3D" w:rsidP="00583887">
            <w:pPr>
              <w:spacing w:after="0" w:line="240" w:lineRule="auto"/>
              <w:rPr>
                <w:rFonts w:eastAsia="Times New Roman" w:cstheme="minorHAnsi"/>
                <w:sz w:val="20"/>
                <w:szCs w:val="20"/>
              </w:rPr>
            </w:pPr>
            <w:hyperlink r:id="rId21" w:history="1">
              <w:r w:rsidR="00325504" w:rsidRPr="0054080A">
                <w:rPr>
                  <w:rFonts w:eastAsia="Times New Roman" w:cstheme="minorHAnsi"/>
                  <w:color w:val="003366"/>
                  <w:sz w:val="20"/>
                  <w:szCs w:val="20"/>
                  <w:u w:val="single"/>
                </w:rPr>
                <w:t>http://nvlpubs.nist.gov/nistpubs/SpecialPublications/NIST.SP.800-171r1.pdf</w:t>
              </w:r>
            </w:hyperlink>
          </w:p>
        </w:tc>
      </w:tr>
      <w:tr w:rsidR="00325504" w:rsidRPr="0054080A" w14:paraId="6853906C"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598D6D5C"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lastRenderedPageBreak/>
              <w:t>NIST SP 800-53r5</w:t>
            </w:r>
          </w:p>
          <w:p w14:paraId="21A954B1"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Security and Privacy Controls for Information Systems and Organizations</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822BDD9" w14:textId="3EA9F94E"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This publication provides a catalog of security and privacy controls for federal information systems and organizations to protect organizational operations and assets, individuals, other organizations, and the </w:t>
            </w:r>
            <w:r w:rsidR="00325F24">
              <w:rPr>
                <w:rFonts w:eastAsia="Times New Roman" w:cstheme="minorHAnsi"/>
                <w:sz w:val="20"/>
                <w:szCs w:val="20"/>
              </w:rPr>
              <w:t>n</w:t>
            </w:r>
            <w:r w:rsidRPr="00A4306C">
              <w:rPr>
                <w:rFonts w:eastAsia="Times New Roman" w:cstheme="minorHAnsi"/>
                <w:sz w:val="20"/>
                <w:szCs w:val="20"/>
              </w:rPr>
              <w:t xml:space="preserve">ation from a diverse set of threats including hostile attacks, natural disasters, structural failures, human errors, and privacy risks. The controls are flexible and customizable and implemented as part of an organization-wide process to manage risk. The controls address diverse requirements derived from mission and business needs, laws, </w:t>
            </w:r>
            <w:r w:rsidR="00325F24">
              <w:rPr>
                <w:rFonts w:eastAsia="Times New Roman" w:cstheme="minorHAnsi"/>
                <w:sz w:val="20"/>
                <w:szCs w:val="20"/>
              </w:rPr>
              <w:t>e</w:t>
            </w:r>
            <w:r w:rsidRPr="00A4306C">
              <w:rPr>
                <w:rFonts w:eastAsia="Times New Roman" w:cstheme="minorHAnsi"/>
                <w:sz w:val="20"/>
                <w:szCs w:val="20"/>
              </w:rPr>
              <w:t xml:space="preserve">xecutive </w:t>
            </w:r>
            <w:r w:rsidR="00325F24">
              <w:rPr>
                <w:rFonts w:eastAsia="Times New Roman" w:cstheme="minorHAnsi"/>
                <w:sz w:val="20"/>
                <w:szCs w:val="20"/>
              </w:rPr>
              <w:t>o</w:t>
            </w:r>
            <w:r w:rsidRPr="00A4306C">
              <w:rPr>
                <w:rFonts w:eastAsia="Times New Roman" w:cstheme="minorHAnsi"/>
                <w:sz w:val="20"/>
                <w:szCs w:val="20"/>
              </w:rPr>
              <w:t>rders, directives, regulations, policies, standards, and guidelines. The publication describes how to develop specialized sets of controls, or overlays, tailored for specific types of missions and business functions, technologies, environments of operation, and sector-specific applications. Finally, the consolidated catalog of controls addresses security and privacy from a functionality perspective (i.e., the strength of functions and mechanisms) and an assurance perspective (i.e., the measure of confidence in the security or privacy capability). Addressing both functionality and assurance ensures that information technology products and the information systems that rely on those products are sufficiently trustworthy.</w:t>
            </w:r>
          </w:p>
          <w:p w14:paraId="67DA2CD5" w14:textId="77777777" w:rsidR="00325504" w:rsidRPr="00A4306C" w:rsidRDefault="00042C3D" w:rsidP="00583887">
            <w:pPr>
              <w:spacing w:after="0" w:line="240" w:lineRule="auto"/>
              <w:rPr>
                <w:rFonts w:eastAsia="Times New Roman" w:cstheme="minorHAnsi"/>
                <w:sz w:val="20"/>
                <w:szCs w:val="20"/>
              </w:rPr>
            </w:pPr>
            <w:hyperlink r:id="rId22" w:history="1">
              <w:r w:rsidR="00325504" w:rsidRPr="0054080A">
                <w:rPr>
                  <w:rFonts w:eastAsia="Times New Roman" w:cstheme="minorHAnsi"/>
                  <w:color w:val="003366"/>
                  <w:sz w:val="20"/>
                  <w:szCs w:val="20"/>
                  <w:u w:val="single"/>
                </w:rPr>
                <w:t>https://csrc.nist.gov/csrc/media/publications/sp/800-53/rev-5/draft/documents/sp800-53r5-draft.pdf</w:t>
              </w:r>
            </w:hyperlink>
          </w:p>
          <w:p w14:paraId="37F6E316"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Article on 800-53 and the Internet of Things</w:t>
            </w:r>
          </w:p>
          <w:p w14:paraId="15729890" w14:textId="77777777" w:rsidR="00325504" w:rsidRPr="00A4306C" w:rsidRDefault="00325504" w:rsidP="00583887">
            <w:pPr>
              <w:numPr>
                <w:ilvl w:val="0"/>
                <w:numId w:val="18"/>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NIST retools security and privacy controls for IoT era, </w:t>
            </w:r>
            <w:hyperlink r:id="rId23" w:history="1">
              <w:r w:rsidRPr="0054080A">
                <w:rPr>
                  <w:rFonts w:eastAsia="Times New Roman" w:cstheme="minorHAnsi"/>
                  <w:color w:val="003366"/>
                  <w:sz w:val="20"/>
                  <w:szCs w:val="20"/>
                  <w:u w:val="single"/>
                </w:rPr>
                <w:t>https://fcw.com/articles/2017/08/16/nist-retools-for-iot.aspx</w:t>
              </w:r>
            </w:hyperlink>
          </w:p>
        </w:tc>
      </w:tr>
      <w:tr w:rsidR="00325504" w:rsidRPr="0054080A" w14:paraId="327BA03E"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8D85D58"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IR 8149</w:t>
            </w:r>
          </w:p>
          <w:p w14:paraId="4F81D834"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Developing Trust Frameworks to Support Identity Federations, 16 January 2018.</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350178F" w14:textId="0F306E1C"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When supported by trust frameworks, identity federations provide a secure method for leveraging shared identity credentials across communities of similarly-focused online service providers. This document explores the concepts around trust frameworks and identity federations and provides topics to consider in their development.</w:t>
            </w:r>
          </w:p>
          <w:p w14:paraId="72A4AC87" w14:textId="77777777" w:rsidR="00325504" w:rsidRPr="00A4306C" w:rsidRDefault="00042C3D" w:rsidP="00583887">
            <w:pPr>
              <w:spacing w:after="0" w:line="240" w:lineRule="auto"/>
              <w:rPr>
                <w:rFonts w:eastAsia="Times New Roman" w:cstheme="minorHAnsi"/>
                <w:sz w:val="20"/>
                <w:szCs w:val="20"/>
              </w:rPr>
            </w:pPr>
            <w:hyperlink r:id="rId24" w:history="1">
              <w:r w:rsidR="00325504" w:rsidRPr="0054080A">
                <w:rPr>
                  <w:rFonts w:eastAsia="Times New Roman" w:cstheme="minorHAnsi"/>
                  <w:color w:val="003366"/>
                  <w:sz w:val="20"/>
                  <w:szCs w:val="20"/>
                  <w:u w:val="single"/>
                </w:rPr>
                <w:t>https://csrc.nist.gov/publications/detail/nistir/8149/draft</w:t>
              </w:r>
            </w:hyperlink>
          </w:p>
        </w:tc>
      </w:tr>
      <w:tr w:rsidR="00325504" w:rsidRPr="0054080A" w14:paraId="2DA6A20E"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BBF4543"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IR 8170 (DRAFT)</w:t>
            </w:r>
          </w:p>
          <w:p w14:paraId="03D0F3E9"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The Cybersecurity Framework: Implementation Guidance for Federal Agencies (Comment period closed June 30</w:t>
            </w:r>
            <w:r w:rsidRPr="00A4306C">
              <w:rPr>
                <w:rFonts w:eastAsia="Times New Roman" w:cstheme="minorHAnsi"/>
                <w:sz w:val="20"/>
                <w:szCs w:val="20"/>
                <w:vertAlign w:val="superscript"/>
              </w:rPr>
              <w:t>th</w:t>
            </w:r>
            <w:r w:rsidRPr="00A4306C">
              <w:rPr>
                <w:rFonts w:eastAsia="Times New Roman" w:cstheme="minorHAnsi"/>
                <w:sz w:val="20"/>
                <w:szCs w:val="20"/>
              </w:rPr>
              <w:t>2017)</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0229D996" w14:textId="432CB575"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This publication assists federal agencies in strengthening their cybersecurity risk management by helping them to determine an appropriate implementation of the Framework for Improving Critical Infrastructure Cybersecurity (known as the Cybersecurity Framework). Federal agencies can use the Cybersecurity Framework to complement the existing suite of NIST security and privacy risk management standards, guidelines, and practices developed in response to the </w:t>
            </w:r>
            <w:r w:rsidR="00325F24">
              <w:rPr>
                <w:rFonts w:eastAsia="Times New Roman" w:cstheme="minorHAnsi"/>
                <w:sz w:val="20"/>
                <w:szCs w:val="20"/>
              </w:rPr>
              <w:t>FISMA</w:t>
            </w:r>
            <w:r w:rsidRPr="00A4306C">
              <w:rPr>
                <w:rFonts w:eastAsia="Times New Roman" w:cstheme="minorHAnsi"/>
                <w:sz w:val="20"/>
                <w:szCs w:val="20"/>
              </w:rPr>
              <w:t xml:space="preserve">, as amended.  The relationship between the Cybersecurity Framework and the </w:t>
            </w:r>
            <w:r w:rsidR="00325F24">
              <w:rPr>
                <w:rFonts w:eastAsia="Times New Roman" w:cstheme="minorHAnsi"/>
                <w:sz w:val="20"/>
                <w:szCs w:val="20"/>
              </w:rPr>
              <w:t>NIST</w:t>
            </w:r>
            <w:r w:rsidRPr="00A4306C">
              <w:rPr>
                <w:rFonts w:eastAsia="Times New Roman" w:cstheme="minorHAnsi"/>
                <w:sz w:val="20"/>
                <w:szCs w:val="20"/>
              </w:rPr>
              <w:t xml:space="preserve"> Risk Management Framework are discussed in eight use cases.</w:t>
            </w:r>
          </w:p>
          <w:p w14:paraId="1A8CFBDA" w14:textId="77777777" w:rsidR="00325504" w:rsidRPr="00A4306C" w:rsidRDefault="00042C3D" w:rsidP="00583887">
            <w:pPr>
              <w:spacing w:after="0" w:line="240" w:lineRule="auto"/>
              <w:rPr>
                <w:rFonts w:eastAsia="Times New Roman" w:cstheme="minorHAnsi"/>
                <w:sz w:val="20"/>
                <w:szCs w:val="20"/>
              </w:rPr>
            </w:pPr>
            <w:hyperlink r:id="rId25" w:history="1">
              <w:r w:rsidR="00325504" w:rsidRPr="0054080A">
                <w:rPr>
                  <w:rFonts w:eastAsia="Times New Roman" w:cstheme="minorHAnsi"/>
                  <w:color w:val="003366"/>
                  <w:sz w:val="20"/>
                  <w:szCs w:val="20"/>
                  <w:u w:val="single"/>
                </w:rPr>
                <w:t>https://csrc.nist.gov/csrc/media/publications/nistir/8170/draft/documents/nistir8170-draft.pdf</w:t>
              </w:r>
            </w:hyperlink>
          </w:p>
        </w:tc>
      </w:tr>
      <w:tr w:rsidR="00325504" w:rsidRPr="0054080A" w14:paraId="4708CA39"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CA3C4FB"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NIST SP 800-66 Rev. 1</w:t>
            </w:r>
          </w:p>
          <w:p w14:paraId="61C8BF7A"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An Introductory Resource Guide for Implementing the Health Insurance Portability and </w:t>
            </w:r>
            <w:r w:rsidRPr="00A4306C">
              <w:rPr>
                <w:rFonts w:eastAsia="Times New Roman" w:cstheme="minorHAnsi"/>
                <w:sz w:val="20"/>
                <w:szCs w:val="20"/>
              </w:rPr>
              <w:lastRenderedPageBreak/>
              <w:t>Accountability Act (HIPAA) Security Rule</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D66938B"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lastRenderedPageBreak/>
              <w:t xml:space="preserve">This publication discusses security considerations and resources that may provide value when implementing the requirements of the HIPAA </w:t>
            </w:r>
            <w:r w:rsidRPr="0054080A">
              <w:rPr>
                <w:rFonts w:eastAsia="Times New Roman" w:cstheme="minorHAnsi"/>
                <w:sz w:val="20"/>
                <w:szCs w:val="20"/>
              </w:rPr>
              <w:t>Security</w:t>
            </w:r>
            <w:r w:rsidRPr="00A4306C">
              <w:rPr>
                <w:rFonts w:eastAsia="Times New Roman" w:cstheme="minorHAnsi"/>
                <w:sz w:val="20"/>
                <w:szCs w:val="20"/>
              </w:rPr>
              <w:t xml:space="preserve"> Rule, was written to help educate readers about information security terms used in the HIPAA Security Rule and to improve understanding of the meaning of the security standards set out i</w:t>
            </w:r>
            <w:r w:rsidRPr="0054080A">
              <w:rPr>
                <w:rFonts w:eastAsia="Times New Roman" w:cstheme="minorHAnsi"/>
                <w:sz w:val="20"/>
                <w:szCs w:val="20"/>
              </w:rPr>
              <w:t>n</w:t>
            </w:r>
            <w:r w:rsidRPr="00A4306C">
              <w:rPr>
                <w:rFonts w:eastAsia="Times New Roman" w:cstheme="minorHAnsi"/>
                <w:sz w:val="20"/>
                <w:szCs w:val="20"/>
              </w:rPr>
              <w:t xml:space="preserve"> the Security Rule, direct readers to helpful information in other NIST publications on individual topics the HIPAA Security Rule addresses, and aid readers in understanding the security concepts discussed in the HIPAA Security Rule. This publication does not supplement, replace, or supersede the HIPAA Security Rule itself.</w:t>
            </w:r>
          </w:p>
          <w:p w14:paraId="13372EBD" w14:textId="77777777" w:rsidR="00325504" w:rsidRPr="00A4306C" w:rsidRDefault="00042C3D" w:rsidP="00583887">
            <w:pPr>
              <w:spacing w:after="0" w:line="240" w:lineRule="auto"/>
              <w:rPr>
                <w:rFonts w:eastAsia="Times New Roman" w:cstheme="minorHAnsi"/>
                <w:sz w:val="20"/>
                <w:szCs w:val="20"/>
              </w:rPr>
            </w:pPr>
            <w:hyperlink r:id="rId26" w:history="1">
              <w:r w:rsidR="00325504" w:rsidRPr="0054080A">
                <w:rPr>
                  <w:rFonts w:eastAsia="Times New Roman" w:cstheme="minorHAnsi"/>
                  <w:color w:val="003366"/>
                  <w:sz w:val="20"/>
                  <w:szCs w:val="20"/>
                  <w:u w:val="single"/>
                </w:rPr>
                <w:t>http://nvlpubs.nist.gov/nistpubs/Legacy/SP/nistspecialpublication800-66r1.pdf</w:t>
              </w:r>
            </w:hyperlink>
          </w:p>
        </w:tc>
      </w:tr>
      <w:tr w:rsidR="00325504" w:rsidRPr="0054080A" w14:paraId="39F5F4B4" w14:textId="77777777" w:rsidTr="00583887">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3742C413"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lastRenderedPageBreak/>
              <w:t>Framework for Improving Critical Infrastructure Cybersecurity v 1.1</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768DECD" w14:textId="797E5BD1"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The Framework is a risk-based approach to managing cybersecurity </w:t>
            </w:r>
            <w:r w:rsidR="00E77470" w:rsidRPr="00A4306C">
              <w:rPr>
                <w:rFonts w:eastAsia="Times New Roman" w:cstheme="minorHAnsi"/>
                <w:sz w:val="20"/>
                <w:szCs w:val="20"/>
              </w:rPr>
              <w:t>risk and</w:t>
            </w:r>
            <w:r w:rsidRPr="00A4306C">
              <w:rPr>
                <w:rFonts w:eastAsia="Times New Roman" w:cstheme="minorHAnsi"/>
                <w:sz w:val="20"/>
                <w:szCs w:val="20"/>
              </w:rPr>
              <w:t xml:space="preserve"> is composed of three parts: the Framework Core, the Framework Implementation Tiers, and the Framework Profiles. Each Framework component reinforces the connection between business drivers and cybersecurity activities. These components are explained below.</w:t>
            </w:r>
          </w:p>
          <w:p w14:paraId="2D382668" w14:textId="77777777" w:rsidR="00325504" w:rsidRPr="00A4306C" w:rsidRDefault="00042C3D" w:rsidP="00583887">
            <w:pPr>
              <w:spacing w:after="0" w:line="240" w:lineRule="auto"/>
              <w:rPr>
                <w:rFonts w:eastAsia="Times New Roman" w:cstheme="minorHAnsi"/>
                <w:sz w:val="20"/>
                <w:szCs w:val="20"/>
              </w:rPr>
            </w:pPr>
            <w:hyperlink r:id="rId27" w:history="1">
              <w:r w:rsidR="00325504" w:rsidRPr="0054080A">
                <w:rPr>
                  <w:rFonts w:eastAsia="Times New Roman" w:cstheme="minorHAnsi"/>
                  <w:color w:val="003366"/>
                  <w:sz w:val="20"/>
                  <w:szCs w:val="20"/>
                  <w:u w:val="single"/>
                </w:rPr>
                <w:t>https://www.nist.gov/cyberframework/draft-version-11</w:t>
              </w:r>
            </w:hyperlink>
          </w:p>
          <w:p w14:paraId="5E2625A4" w14:textId="43BB0982" w:rsidR="00325504" w:rsidRPr="00A4306C" w:rsidRDefault="00325504" w:rsidP="00583887">
            <w:pPr>
              <w:numPr>
                <w:ilvl w:val="0"/>
                <w:numId w:val="19"/>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Office of Civil Right</w:t>
            </w:r>
            <w:r w:rsidR="00325F24">
              <w:rPr>
                <w:rFonts w:eastAsia="Times New Roman" w:cstheme="minorHAnsi"/>
                <w:sz w:val="20"/>
                <w:szCs w:val="20"/>
              </w:rPr>
              <w:t>s</w:t>
            </w:r>
            <w:r w:rsidRPr="00A4306C">
              <w:rPr>
                <w:rFonts w:eastAsia="Times New Roman" w:cstheme="minorHAnsi"/>
                <w:sz w:val="20"/>
                <w:szCs w:val="20"/>
              </w:rPr>
              <w:t xml:space="preserve"> Review of NIST Cyber Security Framework </w:t>
            </w:r>
            <w:hyperlink r:id="rId28" w:history="1">
              <w:r w:rsidRPr="0054080A">
                <w:rPr>
                  <w:rFonts w:eastAsia="Times New Roman" w:cstheme="minorHAnsi"/>
                  <w:color w:val="003366"/>
                  <w:sz w:val="20"/>
                  <w:szCs w:val="20"/>
                  <w:u w:val="single"/>
                </w:rPr>
                <w:t>https://www.hhs.gov/sites/default/files/nist-csf-to-hipaa-security-rule-crosswalk-02-22-2016-final.pdf</w:t>
              </w:r>
            </w:hyperlink>
          </w:p>
          <w:p w14:paraId="787EF7D1" w14:textId="3F55540B" w:rsidR="00325504" w:rsidRPr="00A4306C" w:rsidRDefault="00325504" w:rsidP="00583887">
            <w:pPr>
              <w:numPr>
                <w:ilvl w:val="0"/>
                <w:numId w:val="19"/>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 xml:space="preserve">Related article, Cyber Security Framework </w:t>
            </w:r>
            <w:r w:rsidR="00CA0BFE">
              <w:rPr>
                <w:rFonts w:eastAsia="Times New Roman" w:cstheme="minorHAnsi"/>
                <w:sz w:val="20"/>
                <w:szCs w:val="20"/>
              </w:rPr>
              <w:t>D</w:t>
            </w:r>
            <w:r w:rsidRPr="00A4306C">
              <w:rPr>
                <w:rFonts w:eastAsia="Times New Roman" w:cstheme="minorHAnsi"/>
                <w:sz w:val="20"/>
                <w:szCs w:val="20"/>
              </w:rPr>
              <w:t>raft</w:t>
            </w:r>
            <w:r w:rsidR="00CA0BFE">
              <w:rPr>
                <w:rFonts w:eastAsia="Times New Roman" w:cstheme="minorHAnsi"/>
                <w:sz w:val="20"/>
                <w:szCs w:val="20"/>
              </w:rPr>
              <w:t xml:space="preserve">, </w:t>
            </w:r>
            <w:hyperlink r:id="rId29" w:history="1">
              <w:r w:rsidRPr="0054080A">
                <w:rPr>
                  <w:rFonts w:eastAsia="Times New Roman" w:cstheme="minorHAnsi"/>
                  <w:color w:val="003366"/>
                  <w:sz w:val="20"/>
                  <w:szCs w:val="20"/>
                  <w:u w:val="single"/>
                </w:rPr>
                <w:t>https://www.govconwire.com/2017/05/nist-reveals-draft-of-cyber-security-framework/</w:t>
              </w:r>
            </w:hyperlink>
          </w:p>
        </w:tc>
      </w:tr>
      <w:tr w:rsidR="00325504" w:rsidRPr="0054080A" w14:paraId="59A0136D" w14:textId="77777777" w:rsidTr="00583887">
        <w:tblPrEx>
          <w:tblCellMar>
            <w:top w:w="15" w:type="dxa"/>
            <w:left w:w="15" w:type="dxa"/>
            <w:bottom w:w="15" w:type="dxa"/>
            <w:right w:w="15" w:type="dxa"/>
          </w:tblCellMar>
        </w:tblPrEx>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BB966E6"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FIPS 140-2</w:t>
            </w:r>
          </w:p>
          <w:p w14:paraId="02AD404D"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Security Requirements for Cryptographic Modules</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B888D08" w14:textId="4785FFCA"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FIPS specifies the security requirements that will be satisfied by a cryptographic module, providing four increasing, qualitative levels intended to cover a wide range of potential applications and environments. The areas covered, related to the secure design and implementation of a cryptographic module, include</w:t>
            </w:r>
            <w:r w:rsidR="00CA0BFE">
              <w:rPr>
                <w:rFonts w:eastAsia="Times New Roman" w:cstheme="minorHAnsi"/>
                <w:sz w:val="20"/>
                <w:szCs w:val="20"/>
              </w:rPr>
              <w:t>:</w:t>
            </w:r>
            <w:r w:rsidRPr="00A4306C">
              <w:rPr>
                <w:rFonts w:eastAsia="Times New Roman" w:cstheme="minorHAnsi"/>
                <w:sz w:val="20"/>
                <w:szCs w:val="20"/>
              </w:rPr>
              <w:t xml:space="preserve"> specification; ports and interfaces; roles, services, and authentication; finite state model; physical security; operational environment; cryptographic key management; electromagnetic interference/electromagnetic compatibility (EMI/EMC); self-tests; design assurance; and mitigation of other attacks</w:t>
            </w:r>
          </w:p>
          <w:p w14:paraId="50975B8D" w14:textId="77777777" w:rsidR="00325504" w:rsidRPr="00A4306C" w:rsidRDefault="00042C3D" w:rsidP="00583887">
            <w:pPr>
              <w:numPr>
                <w:ilvl w:val="0"/>
                <w:numId w:val="20"/>
              </w:numPr>
              <w:spacing w:before="100" w:beforeAutospacing="1" w:after="100" w:afterAutospacing="1" w:line="240" w:lineRule="auto"/>
              <w:ind w:left="300"/>
              <w:rPr>
                <w:rFonts w:eastAsia="Times New Roman" w:cstheme="minorHAnsi"/>
                <w:sz w:val="20"/>
                <w:szCs w:val="20"/>
              </w:rPr>
            </w:pPr>
            <w:hyperlink r:id="rId30" w:history="1">
              <w:r w:rsidR="00325504" w:rsidRPr="0054080A">
                <w:rPr>
                  <w:rFonts w:eastAsia="Times New Roman" w:cstheme="minorHAnsi"/>
                  <w:color w:val="003366"/>
                  <w:sz w:val="20"/>
                  <w:szCs w:val="20"/>
                  <w:u w:val="single"/>
                </w:rPr>
                <w:t>https://csrc.nist.gov/publications/detail/fips/140/2/final</w:t>
              </w:r>
            </w:hyperlink>
          </w:p>
        </w:tc>
      </w:tr>
      <w:tr w:rsidR="00325504" w:rsidRPr="0054080A" w14:paraId="7B4484E6" w14:textId="77777777" w:rsidTr="00583887">
        <w:tblPrEx>
          <w:tblCellMar>
            <w:top w:w="15" w:type="dxa"/>
            <w:left w:w="15" w:type="dxa"/>
            <w:bottom w:w="15" w:type="dxa"/>
            <w:right w:w="15" w:type="dxa"/>
          </w:tblCellMar>
        </w:tblPrEx>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D162951"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FIPS 140-2: HSM ITL Bulletin</w:t>
            </w:r>
          </w:p>
          <w:p w14:paraId="063BF7C6"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Understanding the Major Update to NIST SP 800-63: Digital Identity Guidelines</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59D1769"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color w:val="000000"/>
                <w:sz w:val="20"/>
                <w:szCs w:val="20"/>
              </w:rPr>
              <w:t>This bulletin outlines the updates NIST recently made in its four-volume Special Publication (SP) 800-63, Digital Identity Guidelines, which provide agencies with technical guidelines regarding the digital authentication of users to federal networked systems.</w:t>
            </w:r>
          </w:p>
          <w:p w14:paraId="3697DEA1" w14:textId="77777777" w:rsidR="00325504" w:rsidRPr="00A4306C" w:rsidRDefault="00042C3D" w:rsidP="00583887">
            <w:pPr>
              <w:numPr>
                <w:ilvl w:val="0"/>
                <w:numId w:val="21"/>
              </w:numPr>
              <w:spacing w:before="100" w:beforeAutospacing="1" w:after="100" w:afterAutospacing="1" w:line="240" w:lineRule="auto"/>
              <w:ind w:left="300"/>
              <w:rPr>
                <w:rFonts w:eastAsia="Times New Roman" w:cstheme="minorHAnsi"/>
                <w:sz w:val="20"/>
                <w:szCs w:val="20"/>
              </w:rPr>
            </w:pPr>
            <w:hyperlink r:id="rId31" w:history="1">
              <w:r w:rsidR="00325504" w:rsidRPr="0054080A">
                <w:rPr>
                  <w:rFonts w:eastAsia="Times New Roman" w:cstheme="minorHAnsi"/>
                  <w:color w:val="003366"/>
                  <w:sz w:val="20"/>
                  <w:szCs w:val="20"/>
                  <w:u w:val="single"/>
                </w:rPr>
                <w:t>https://www.nist.gov/publications/understanding-major-update-nist-sp-800-63-digital-identity-guidelines</w:t>
              </w:r>
            </w:hyperlink>
          </w:p>
        </w:tc>
      </w:tr>
      <w:tr w:rsidR="00325504" w:rsidRPr="0054080A" w14:paraId="3BC437EB" w14:textId="77777777" w:rsidTr="00583887">
        <w:tblPrEx>
          <w:tblCellMar>
            <w:top w:w="15" w:type="dxa"/>
            <w:left w:w="15" w:type="dxa"/>
            <w:bottom w:w="15" w:type="dxa"/>
            <w:right w:w="15" w:type="dxa"/>
          </w:tblCellMar>
        </w:tblPrEx>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0EAB7786"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FIPS 140-2: Implementation Guide</w:t>
            </w:r>
          </w:p>
          <w:p w14:paraId="63150ED8"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Implementation Guidance for FIPS 140-2 and the Cryptographic Module Validation Program</w:t>
            </w:r>
          </w:p>
          <w:p w14:paraId="39E75307" w14:textId="77777777" w:rsidR="00325504" w:rsidRPr="00A4306C" w:rsidRDefault="00325504" w:rsidP="00583887">
            <w:pPr>
              <w:spacing w:after="0" w:line="240" w:lineRule="auto"/>
              <w:rPr>
                <w:rFonts w:eastAsia="Times New Roman" w:cstheme="minorHAnsi"/>
                <w:sz w:val="20"/>
                <w:szCs w:val="20"/>
              </w:rPr>
            </w:pP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A691638" w14:textId="7AB2C165"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This Implementation Guidance document is issued and maintained by</w:t>
            </w:r>
            <w:r w:rsidR="00CA0BFE">
              <w:rPr>
                <w:rFonts w:eastAsia="Times New Roman" w:cstheme="minorHAnsi"/>
                <w:sz w:val="20"/>
                <w:szCs w:val="20"/>
              </w:rPr>
              <w:t xml:space="preserve"> NIST</w:t>
            </w:r>
            <w:r w:rsidRPr="00A4306C">
              <w:rPr>
                <w:rFonts w:eastAsia="Times New Roman" w:cstheme="minorHAnsi"/>
                <w:sz w:val="20"/>
                <w:szCs w:val="20"/>
              </w:rPr>
              <w:t xml:space="preserve"> and the Communications Security Establishment Canada (CSE), which serve as the validation authorities of the Cryptographic Module Validation Program (CMVP) for their respective governments. The CMVP validates the test results of National Voluntary Laboratory Accreditation Program (NVLAP) accredited Cryptographic and Security Testing (CST) Laboratories which test cryptographic modules for conformance to Federal Information Processing Standard Publication (FIPS) 140-2, Security Requirements for Cryptographic Modules. The Cryptographic Algorithm Validation Program (CAVP) addresses the testing of Approved Security Functions, Approved Random Number Generators and Approved Key Establishment Techniques which are referenced in the annexes of FIPS 140-2. This document is intended to provide programmatic guidance of the CMVP, and in particular, clarifications and guidance pertaining to the Derived Test Requirements for FIPS PUB 140-2 (DTR), which is used by CST Laboratories to test for a cryptographic module's conformance to FIPS 140-2. Guidance presented in this document is based on responses issued by NIST and CSE to questions posed by the CST Labs, vendors, and other interested parties. Information in this document is subject to change by NIST and CSE.</w:t>
            </w:r>
          </w:p>
          <w:p w14:paraId="2C866B04" w14:textId="77777777" w:rsidR="00325504" w:rsidRPr="00A4306C" w:rsidRDefault="00042C3D" w:rsidP="00583887">
            <w:pPr>
              <w:numPr>
                <w:ilvl w:val="0"/>
                <w:numId w:val="22"/>
              </w:numPr>
              <w:spacing w:before="100" w:beforeAutospacing="1" w:after="100" w:afterAutospacing="1" w:line="240" w:lineRule="auto"/>
              <w:ind w:left="300"/>
              <w:rPr>
                <w:rFonts w:eastAsia="Times New Roman" w:cstheme="minorHAnsi"/>
                <w:sz w:val="20"/>
                <w:szCs w:val="20"/>
              </w:rPr>
            </w:pPr>
            <w:hyperlink r:id="rId32" w:history="1">
              <w:r w:rsidR="00325504" w:rsidRPr="0054080A">
                <w:rPr>
                  <w:rFonts w:eastAsia="Times New Roman" w:cstheme="minorHAnsi"/>
                  <w:color w:val="003366"/>
                  <w:sz w:val="20"/>
                  <w:szCs w:val="20"/>
                  <w:u w:val="single"/>
                </w:rPr>
                <w:t>https://csrc.nist.gov/csrc/media/projects/cryptographic-module-validation-program/documents/fips140-2/fips1402ig.pdf</w:t>
              </w:r>
            </w:hyperlink>
          </w:p>
        </w:tc>
      </w:tr>
      <w:tr w:rsidR="00325504" w:rsidRPr="0054080A" w14:paraId="3A328322" w14:textId="77777777" w:rsidTr="00583887">
        <w:tblPrEx>
          <w:tblCellMar>
            <w:top w:w="15" w:type="dxa"/>
            <w:left w:w="15" w:type="dxa"/>
            <w:bottom w:w="15" w:type="dxa"/>
            <w:right w:w="15" w:type="dxa"/>
          </w:tblCellMar>
        </w:tblPrEx>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1A20670"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lastRenderedPageBreak/>
              <w:t>FIPS 199</w:t>
            </w:r>
          </w:p>
          <w:p w14:paraId="6FDDEF3F"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Standards for Security Categorization of Federal Information and Information Systems</w:t>
            </w:r>
            <w:r w:rsidRPr="00A4306C">
              <w:rPr>
                <w:rFonts w:eastAsia="Times New Roman" w:cstheme="minorHAnsi"/>
                <w:sz w:val="20"/>
                <w:szCs w:val="20"/>
              </w:rPr>
              <w:br/>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303027C4"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The purpose of this document is to provide a standard for categorizing federal information and information systems according to an agency's level of concern for confidentiality, integrity, and availability and the potential impact on agency assets and operations should their information and information systems be compromised through unauthorized access, use, disclosure, disruption, modification, or destruction.</w:t>
            </w:r>
          </w:p>
          <w:p w14:paraId="427268FD" w14:textId="77777777" w:rsidR="00325504" w:rsidRPr="00A4306C" w:rsidRDefault="00042C3D" w:rsidP="00583887">
            <w:pPr>
              <w:numPr>
                <w:ilvl w:val="0"/>
                <w:numId w:val="23"/>
              </w:numPr>
              <w:spacing w:before="100" w:beforeAutospacing="1" w:after="100" w:afterAutospacing="1" w:line="240" w:lineRule="auto"/>
              <w:ind w:left="300"/>
              <w:rPr>
                <w:rFonts w:eastAsia="Times New Roman" w:cstheme="minorHAnsi"/>
                <w:sz w:val="20"/>
                <w:szCs w:val="20"/>
              </w:rPr>
            </w:pPr>
            <w:hyperlink r:id="rId33" w:history="1">
              <w:r w:rsidR="00325504" w:rsidRPr="0054080A">
                <w:rPr>
                  <w:rFonts w:eastAsia="Times New Roman" w:cstheme="minorHAnsi"/>
                  <w:color w:val="003366"/>
                  <w:sz w:val="20"/>
                  <w:szCs w:val="20"/>
                  <w:u w:val="single"/>
                </w:rPr>
                <w:t>https://csrc.nist.gov/publications/detail/fips/199/final</w:t>
              </w:r>
            </w:hyperlink>
          </w:p>
        </w:tc>
      </w:tr>
      <w:tr w:rsidR="00325504" w:rsidRPr="0054080A" w14:paraId="13584784" w14:textId="77777777" w:rsidTr="00583887">
        <w:tblPrEx>
          <w:tblCellMar>
            <w:top w:w="15" w:type="dxa"/>
            <w:left w:w="15" w:type="dxa"/>
            <w:bottom w:w="15" w:type="dxa"/>
            <w:right w:w="15" w:type="dxa"/>
          </w:tblCellMar>
        </w:tblPrEx>
        <w:tc>
          <w:tcPr>
            <w:tcW w:w="225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3EDD854B"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FIPS 200</w:t>
            </w:r>
          </w:p>
          <w:p w14:paraId="534F7532" w14:textId="77777777"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Minimum Security Requirements for Federal Information and Information Systems</w:t>
            </w:r>
          </w:p>
        </w:tc>
        <w:tc>
          <w:tcPr>
            <w:tcW w:w="8198"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A4FEF09" w14:textId="001DFC5C" w:rsidR="00325504" w:rsidRPr="00A4306C" w:rsidRDefault="00325504" w:rsidP="00583887">
            <w:pPr>
              <w:spacing w:after="0" w:line="240" w:lineRule="auto"/>
              <w:rPr>
                <w:rFonts w:eastAsia="Times New Roman" w:cstheme="minorHAnsi"/>
                <w:sz w:val="20"/>
                <w:szCs w:val="20"/>
              </w:rPr>
            </w:pPr>
            <w:r w:rsidRPr="00A4306C">
              <w:rPr>
                <w:rFonts w:eastAsia="Times New Roman" w:cstheme="minorHAnsi"/>
                <w:sz w:val="20"/>
                <w:szCs w:val="20"/>
              </w:rPr>
              <w:t xml:space="preserve">FIPS 200 is the second standard that was specified by FISMA. It is an integral part of the risk management framework that </w:t>
            </w:r>
            <w:r w:rsidR="00CA0BFE">
              <w:rPr>
                <w:rFonts w:eastAsia="Times New Roman" w:cstheme="minorHAnsi"/>
                <w:sz w:val="20"/>
                <w:szCs w:val="20"/>
              </w:rPr>
              <w:t>NIST</w:t>
            </w:r>
            <w:r w:rsidRPr="00A4306C">
              <w:rPr>
                <w:rFonts w:eastAsia="Times New Roman" w:cstheme="minorHAnsi"/>
                <w:sz w:val="20"/>
                <w:szCs w:val="20"/>
              </w:rPr>
              <w:t xml:space="preserve"> developed to assist federal agencies in providing levels of information security based on levels of risk. FIPS 200 specifies minimum security requirements for federal information and information systems and a risk-based process for selecting the security controls necessary to satisfy the minimum requirements.</w:t>
            </w:r>
          </w:p>
          <w:p w14:paraId="5791E703" w14:textId="77777777" w:rsidR="00325504" w:rsidRPr="00A4306C" w:rsidRDefault="00042C3D" w:rsidP="00583887">
            <w:pPr>
              <w:numPr>
                <w:ilvl w:val="0"/>
                <w:numId w:val="24"/>
              </w:numPr>
              <w:spacing w:before="100" w:beforeAutospacing="1" w:after="100" w:afterAutospacing="1" w:line="240" w:lineRule="auto"/>
              <w:ind w:left="300"/>
              <w:rPr>
                <w:rFonts w:eastAsia="Times New Roman" w:cstheme="minorHAnsi"/>
                <w:sz w:val="20"/>
                <w:szCs w:val="20"/>
              </w:rPr>
            </w:pPr>
            <w:hyperlink r:id="rId34" w:history="1">
              <w:r w:rsidR="00325504" w:rsidRPr="0054080A">
                <w:rPr>
                  <w:rFonts w:eastAsia="Times New Roman" w:cstheme="minorHAnsi"/>
                  <w:color w:val="003366"/>
                  <w:sz w:val="20"/>
                  <w:szCs w:val="20"/>
                  <w:u w:val="single"/>
                </w:rPr>
                <w:t>https://csrc.nist.gov/publications/detail/fips/200/final</w:t>
              </w:r>
            </w:hyperlink>
          </w:p>
        </w:tc>
      </w:tr>
    </w:tbl>
    <w:p w14:paraId="3CBC5C3C" w14:textId="77777777" w:rsidR="00325504" w:rsidRPr="00A4306C" w:rsidRDefault="00325504" w:rsidP="00325504">
      <w:pPr>
        <w:shd w:val="clear" w:color="auto" w:fill="FAFAFA"/>
        <w:spacing w:after="150" w:line="240" w:lineRule="auto"/>
        <w:textAlignment w:val="top"/>
        <w:rPr>
          <w:rFonts w:eastAsia="Times New Roman" w:cstheme="minorHAnsi"/>
          <w:vanish/>
          <w:color w:val="333333"/>
          <w:sz w:val="20"/>
          <w:szCs w:val="20"/>
          <w:shd w:val="clear" w:color="auto" w:fill="FFFFFF"/>
        </w:rPr>
      </w:pPr>
      <w:r w:rsidRPr="0054080A">
        <w:rPr>
          <w:rFonts w:eastAsia="Times New Roman" w:cstheme="minorHAnsi"/>
          <w:vanish/>
          <w:color w:val="333333"/>
          <w:sz w:val="20"/>
          <w:szCs w:val="20"/>
          <w:shd w:val="clear" w:color="auto" w:fill="FFFFFF"/>
        </w:rPr>
        <w:br w:type="textWrapping" w:clear="all"/>
      </w:r>
    </w:p>
    <w:tbl>
      <w:tblPr>
        <w:tblW w:w="10522" w:type="dxa"/>
        <w:tblCellMar>
          <w:top w:w="15" w:type="dxa"/>
          <w:left w:w="15" w:type="dxa"/>
          <w:bottom w:w="15" w:type="dxa"/>
          <w:right w:w="15" w:type="dxa"/>
        </w:tblCellMar>
        <w:tblLook w:val="04A0" w:firstRow="1" w:lastRow="0" w:firstColumn="1" w:lastColumn="0" w:noHBand="0" w:noVBand="1"/>
      </w:tblPr>
      <w:tblGrid>
        <w:gridCol w:w="2332"/>
        <w:gridCol w:w="8190"/>
      </w:tblGrid>
      <w:tr w:rsidR="00325504" w:rsidRPr="00A4306C" w14:paraId="53F4E0E1"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12B3600"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Executive Order 13681, Oct 2014</w:t>
            </w:r>
          </w:p>
          <w:p w14:paraId="11C36D6D"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Improving the Security of Consumer Financial Transactions</w:t>
            </w:r>
            <w:r w:rsidRPr="00A4306C">
              <w:rPr>
                <w:rFonts w:eastAsia="Times New Roman" w:cstheme="minorHAnsi"/>
                <w:sz w:val="20"/>
                <w:szCs w:val="20"/>
              </w:rPr>
              <w:br/>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149B6C2"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 </w:t>
            </w:r>
            <w:hyperlink r:id="rId35" w:history="1">
              <w:r w:rsidRPr="0054080A">
                <w:rPr>
                  <w:rFonts w:eastAsia="Times New Roman" w:cstheme="minorHAnsi"/>
                  <w:color w:val="003366"/>
                  <w:sz w:val="20"/>
                  <w:szCs w:val="20"/>
                  <w:u w:val="single"/>
                </w:rPr>
                <w:t>https://obamawhitehouse.archives.gov/the-press-office/2014/10/17/executive-order-improving-security-consumer-financial-transactions</w:t>
              </w:r>
            </w:hyperlink>
          </w:p>
        </w:tc>
      </w:tr>
      <w:tr w:rsidR="00325504" w:rsidRPr="00A4306C" w14:paraId="57DF5A72"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463FE9D"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Executive Order 13636, Feb 2013, </w:t>
            </w:r>
          </w:p>
          <w:p w14:paraId="3B2BB5EF"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Improving Critical Infrastructure Cybersecurity </w:t>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6EF770E" w14:textId="77777777" w:rsidR="00325504" w:rsidRPr="00A4306C" w:rsidRDefault="00042C3D" w:rsidP="006D087F">
            <w:pPr>
              <w:spacing w:after="0" w:line="240" w:lineRule="auto"/>
              <w:rPr>
                <w:rFonts w:eastAsia="Times New Roman" w:cstheme="minorHAnsi"/>
                <w:sz w:val="20"/>
                <w:szCs w:val="20"/>
              </w:rPr>
            </w:pPr>
            <w:hyperlink r:id="rId36" w:history="1">
              <w:r w:rsidR="00325504" w:rsidRPr="0054080A">
                <w:rPr>
                  <w:rFonts w:eastAsia="Times New Roman" w:cstheme="minorHAnsi"/>
                  <w:color w:val="003366"/>
                  <w:sz w:val="20"/>
                  <w:szCs w:val="20"/>
                  <w:u w:val="single"/>
                </w:rPr>
                <w:t>https://obamawhitehouse.archives.gov/the-press-office/2013/02/12/executive-order-improving-critical-infrastructure-cybersecurity</w:t>
              </w:r>
            </w:hyperlink>
          </w:p>
          <w:p w14:paraId="7BB716C5"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color w:val="000000"/>
                <w:sz w:val="20"/>
                <w:szCs w:val="20"/>
              </w:rPr>
              <w:t>On February 13, 2013, the President signed Executive Order 13636, “Improving Critical Infrastructure Cybersecurity,” which gave NIST the responsibility to develop a framework to reduce cyber risks to critical infrastructure (the Cybersecurity Framework). As directed in the Executive Order, NIST, working with industry, will develop the Cybersecurity Framework and the Department of Homeland Security (DHS) will establish performance goals. DHS, in coordination with sector-specific agencies, will then support the adoption of the Cybersecurity Framework by owners and operators of critical infrastructure and other interested entities, through a voluntary program.</w:t>
            </w:r>
          </w:p>
          <w:p w14:paraId="39F176BB" w14:textId="77777777" w:rsidR="00325504" w:rsidRPr="00A4306C" w:rsidRDefault="00325504" w:rsidP="00325504">
            <w:pPr>
              <w:numPr>
                <w:ilvl w:val="0"/>
                <w:numId w:val="25"/>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color w:val="000000"/>
                <w:sz w:val="20"/>
                <w:szCs w:val="20"/>
              </w:rPr>
              <w:t>NIST Testimony, </w:t>
            </w:r>
            <w:r w:rsidRPr="00A4306C">
              <w:rPr>
                <w:rFonts w:eastAsia="Times New Roman" w:cstheme="minorHAnsi"/>
                <w:sz w:val="20"/>
                <w:szCs w:val="20"/>
              </w:rPr>
              <w:t>Oversight of Executive Order 13636 and Development of the Cybersecurity Framework: </w:t>
            </w:r>
            <w:hyperlink r:id="rId37" w:history="1">
              <w:r w:rsidRPr="0054080A">
                <w:rPr>
                  <w:rFonts w:eastAsia="Times New Roman" w:cstheme="minorHAnsi"/>
                  <w:color w:val="003366"/>
                  <w:sz w:val="20"/>
                  <w:szCs w:val="20"/>
                  <w:u w:val="single"/>
                </w:rPr>
                <w:t>https://www.nist.gov/speech-testimony/oversight-executive-order-13636-and-development-cybersecurity-framework</w:t>
              </w:r>
            </w:hyperlink>
          </w:p>
          <w:p w14:paraId="7F64C4D0" w14:textId="77777777" w:rsidR="00325504" w:rsidRPr="00A4306C" w:rsidRDefault="00325504" w:rsidP="00325504">
            <w:pPr>
              <w:numPr>
                <w:ilvl w:val="0"/>
                <w:numId w:val="25"/>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DHS Incentive Study: </w:t>
            </w:r>
            <w:hyperlink r:id="rId38" w:history="1">
              <w:r w:rsidRPr="0054080A">
                <w:rPr>
                  <w:rFonts w:eastAsia="Times New Roman" w:cstheme="minorHAnsi"/>
                  <w:color w:val="003366"/>
                  <w:sz w:val="20"/>
                  <w:szCs w:val="20"/>
                  <w:u w:val="single"/>
                </w:rPr>
                <w:t>https://www.dhs.gov/sites/default/files/publications/dhs-eo13636-summary-report-cybersecurity-incentives-study_0.pdf</w:t>
              </w:r>
            </w:hyperlink>
          </w:p>
        </w:tc>
      </w:tr>
      <w:tr w:rsidR="00325504" w:rsidRPr="00A4306C" w14:paraId="5FEF62AC"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E9D9D0F"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Executive Order 13800, May 2017</w:t>
            </w:r>
          </w:p>
          <w:p w14:paraId="6F9F1386"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 xml:space="preserve">Strengthening the Cyber-Security of federal </w:t>
            </w:r>
            <w:r w:rsidRPr="00A4306C">
              <w:rPr>
                <w:rFonts w:eastAsia="Times New Roman" w:cstheme="minorHAnsi"/>
                <w:sz w:val="20"/>
                <w:szCs w:val="20"/>
              </w:rPr>
              <w:lastRenderedPageBreak/>
              <w:t>Networks and Critical Infrastructure</w:t>
            </w:r>
            <w:r w:rsidRPr="00A4306C">
              <w:rPr>
                <w:rFonts w:eastAsia="Times New Roman" w:cstheme="minorHAnsi"/>
                <w:sz w:val="20"/>
                <w:szCs w:val="20"/>
              </w:rPr>
              <w:br/>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4BCFC08" w14:textId="1E26CFC0"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lastRenderedPageBreak/>
              <w:t>On May 11, 2017, President Trump issued Executive Order 13800, </w:t>
            </w:r>
            <w:hyperlink r:id="rId39" w:history="1">
              <w:r w:rsidRPr="0054080A">
                <w:rPr>
                  <w:rFonts w:eastAsia="Times New Roman" w:cstheme="minorHAnsi"/>
                  <w:b/>
                  <w:bCs/>
                  <w:i/>
                  <w:iCs/>
                  <w:color w:val="003366"/>
                  <w:sz w:val="20"/>
                  <w:szCs w:val="20"/>
                </w:rPr>
                <w:t>Strengthening the Cybersecurity of Federal Networks and Critical Infrastructure</w:t>
              </w:r>
            </w:hyperlink>
            <w:r w:rsidR="00CA0BFE">
              <w:rPr>
                <w:rFonts w:eastAsia="Times New Roman" w:cstheme="minorHAnsi"/>
                <w:sz w:val="20"/>
                <w:szCs w:val="20"/>
              </w:rPr>
              <w:t xml:space="preserve"> </w:t>
            </w:r>
            <w:r w:rsidRPr="00A4306C">
              <w:rPr>
                <w:rFonts w:eastAsia="Times New Roman" w:cstheme="minorHAnsi"/>
                <w:sz w:val="20"/>
                <w:szCs w:val="20"/>
              </w:rPr>
              <w:t xml:space="preserve">(EO 13800 or EO), to improve the </w:t>
            </w:r>
            <w:r w:rsidR="00CA0BFE">
              <w:rPr>
                <w:rFonts w:eastAsia="Times New Roman" w:cstheme="minorHAnsi"/>
                <w:sz w:val="20"/>
                <w:szCs w:val="20"/>
              </w:rPr>
              <w:t>n</w:t>
            </w:r>
            <w:r w:rsidRPr="00A4306C">
              <w:rPr>
                <w:rFonts w:eastAsia="Times New Roman" w:cstheme="minorHAnsi"/>
                <w:sz w:val="20"/>
                <w:szCs w:val="20"/>
              </w:rPr>
              <w:t>ation’s cyber posture and capabilities in the face of intensifying cybersecurity threats to its digital and physical security. EO 13800 initiates action on four fronts:</w:t>
            </w:r>
          </w:p>
          <w:p w14:paraId="211D9E98" w14:textId="51FCC7A1" w:rsidR="00325504" w:rsidRPr="00A4306C" w:rsidRDefault="00325504" w:rsidP="00325504">
            <w:pPr>
              <w:numPr>
                <w:ilvl w:val="0"/>
                <w:numId w:val="26"/>
              </w:numPr>
              <w:spacing w:before="100" w:beforeAutospacing="1" w:after="100" w:afterAutospacing="1" w:line="240" w:lineRule="auto"/>
              <w:ind w:left="525"/>
              <w:rPr>
                <w:rFonts w:eastAsia="Times New Roman" w:cstheme="minorHAnsi"/>
                <w:sz w:val="20"/>
                <w:szCs w:val="20"/>
              </w:rPr>
            </w:pPr>
            <w:r w:rsidRPr="00A4306C">
              <w:rPr>
                <w:rFonts w:eastAsia="Times New Roman" w:cstheme="minorHAnsi"/>
                <w:sz w:val="20"/>
                <w:szCs w:val="20"/>
              </w:rPr>
              <w:lastRenderedPageBreak/>
              <w:t xml:space="preserve">It secures the </w:t>
            </w:r>
            <w:r w:rsidR="00CA0BFE">
              <w:rPr>
                <w:rFonts w:eastAsia="Times New Roman" w:cstheme="minorHAnsi"/>
                <w:sz w:val="20"/>
                <w:szCs w:val="20"/>
              </w:rPr>
              <w:t xml:space="preserve">federal </w:t>
            </w:r>
            <w:r w:rsidRPr="00A4306C">
              <w:rPr>
                <w:rFonts w:eastAsia="Times New Roman" w:cstheme="minorHAnsi"/>
                <w:sz w:val="20"/>
                <w:szCs w:val="20"/>
              </w:rPr>
              <w:t>networks that operate on behalf of the American people.</w:t>
            </w:r>
          </w:p>
          <w:p w14:paraId="0859DEFA" w14:textId="77777777" w:rsidR="00325504" w:rsidRPr="00A4306C" w:rsidRDefault="00325504" w:rsidP="00325504">
            <w:pPr>
              <w:numPr>
                <w:ilvl w:val="0"/>
                <w:numId w:val="26"/>
              </w:numPr>
              <w:spacing w:before="100" w:beforeAutospacing="1" w:after="100" w:afterAutospacing="1" w:line="240" w:lineRule="auto"/>
              <w:ind w:left="525"/>
              <w:rPr>
                <w:rFonts w:eastAsia="Times New Roman" w:cstheme="minorHAnsi"/>
                <w:sz w:val="20"/>
                <w:szCs w:val="20"/>
              </w:rPr>
            </w:pPr>
            <w:r w:rsidRPr="00A4306C">
              <w:rPr>
                <w:rFonts w:eastAsia="Times New Roman" w:cstheme="minorHAnsi"/>
                <w:sz w:val="20"/>
                <w:szCs w:val="20"/>
              </w:rPr>
              <w:t>It encourages collaboration with industry to protect critical infrastructure that maintains the American way of life.</w:t>
            </w:r>
          </w:p>
          <w:p w14:paraId="7ACBC14F" w14:textId="77777777" w:rsidR="00325504" w:rsidRPr="00A4306C" w:rsidRDefault="00325504" w:rsidP="00325504">
            <w:pPr>
              <w:numPr>
                <w:ilvl w:val="0"/>
                <w:numId w:val="26"/>
              </w:numPr>
              <w:spacing w:before="100" w:beforeAutospacing="1" w:after="100" w:afterAutospacing="1" w:line="240" w:lineRule="auto"/>
              <w:ind w:left="525"/>
              <w:rPr>
                <w:rFonts w:eastAsia="Times New Roman" w:cstheme="minorHAnsi"/>
                <w:sz w:val="20"/>
                <w:szCs w:val="20"/>
              </w:rPr>
            </w:pPr>
            <w:r w:rsidRPr="00A4306C">
              <w:rPr>
                <w:rFonts w:eastAsia="Times New Roman" w:cstheme="minorHAnsi"/>
                <w:sz w:val="20"/>
                <w:szCs w:val="20"/>
              </w:rPr>
              <w:t>It strengthens the deterrence posture of the United States and builds international coalitions.</w:t>
            </w:r>
          </w:p>
          <w:p w14:paraId="75C3DF25" w14:textId="69835775" w:rsidR="00325504" w:rsidRPr="00A4306C" w:rsidRDefault="00325504" w:rsidP="00325504">
            <w:pPr>
              <w:numPr>
                <w:ilvl w:val="0"/>
                <w:numId w:val="26"/>
              </w:numPr>
              <w:spacing w:before="100" w:beforeAutospacing="1" w:after="100" w:afterAutospacing="1" w:line="240" w:lineRule="auto"/>
              <w:ind w:left="525"/>
              <w:rPr>
                <w:rFonts w:eastAsia="Times New Roman" w:cstheme="minorHAnsi"/>
                <w:sz w:val="20"/>
                <w:szCs w:val="20"/>
              </w:rPr>
            </w:pPr>
            <w:r w:rsidRPr="00A4306C">
              <w:rPr>
                <w:rFonts w:eastAsia="Times New Roman" w:cstheme="minorHAnsi"/>
                <w:sz w:val="20"/>
                <w:szCs w:val="20"/>
              </w:rPr>
              <w:t xml:space="preserve">It places much needed focus on building a stronger cybersecurity workforce, which is critical for the </w:t>
            </w:r>
            <w:r w:rsidR="00CA0BFE">
              <w:rPr>
                <w:rFonts w:eastAsia="Times New Roman" w:cstheme="minorHAnsi"/>
                <w:sz w:val="20"/>
                <w:szCs w:val="20"/>
              </w:rPr>
              <w:t>n</w:t>
            </w:r>
            <w:r w:rsidRPr="00A4306C">
              <w:rPr>
                <w:rFonts w:eastAsia="Times New Roman" w:cstheme="minorHAnsi"/>
                <w:sz w:val="20"/>
                <w:szCs w:val="20"/>
              </w:rPr>
              <w:t xml:space="preserve">ation’s </w:t>
            </w:r>
            <w:r w:rsidR="00E77470" w:rsidRPr="00A4306C">
              <w:rPr>
                <w:rFonts w:eastAsia="Times New Roman" w:cstheme="minorHAnsi"/>
                <w:sz w:val="20"/>
                <w:szCs w:val="20"/>
              </w:rPr>
              <w:t>long-term</w:t>
            </w:r>
            <w:r w:rsidRPr="00A4306C">
              <w:rPr>
                <w:rFonts w:eastAsia="Times New Roman" w:cstheme="minorHAnsi"/>
                <w:sz w:val="20"/>
                <w:szCs w:val="20"/>
              </w:rPr>
              <w:t xml:space="preserve"> ability to strengthen its cyber protections and capabilities.</w:t>
            </w:r>
          </w:p>
          <w:p w14:paraId="76547A8F" w14:textId="3451195E"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 xml:space="preserve">The EO consists of three sections: Cybersecurity of Federal Networks, Cybersecurity of Critical Infrastructure, and Cybersecurity for the Nation. A </w:t>
            </w:r>
            <w:r w:rsidR="00CA0BFE">
              <w:rPr>
                <w:rFonts w:eastAsia="Times New Roman" w:cstheme="minorHAnsi"/>
                <w:sz w:val="20"/>
                <w:szCs w:val="20"/>
              </w:rPr>
              <w:t>w</w:t>
            </w:r>
            <w:r w:rsidRPr="00A4306C">
              <w:rPr>
                <w:rFonts w:eastAsia="Times New Roman" w:cstheme="minorHAnsi"/>
                <w:sz w:val="20"/>
                <w:szCs w:val="20"/>
              </w:rPr>
              <w:t xml:space="preserve">orking </w:t>
            </w:r>
            <w:r w:rsidR="00CA0BFE">
              <w:rPr>
                <w:rFonts w:eastAsia="Times New Roman" w:cstheme="minorHAnsi"/>
                <w:sz w:val="20"/>
                <w:szCs w:val="20"/>
              </w:rPr>
              <w:t>g</w:t>
            </w:r>
            <w:r w:rsidRPr="00A4306C">
              <w:rPr>
                <w:rFonts w:eastAsia="Times New Roman" w:cstheme="minorHAnsi"/>
                <w:sz w:val="20"/>
                <w:szCs w:val="20"/>
              </w:rPr>
              <w:t>roup of representatives from across the U.S. Government has been formed to implement EO work.</w:t>
            </w:r>
          </w:p>
          <w:p w14:paraId="21EEC45A" w14:textId="77777777" w:rsidR="00325504" w:rsidRPr="00A4306C" w:rsidRDefault="00042C3D" w:rsidP="006D087F">
            <w:pPr>
              <w:spacing w:after="0" w:line="240" w:lineRule="auto"/>
              <w:rPr>
                <w:rFonts w:eastAsia="Times New Roman" w:cstheme="minorHAnsi"/>
                <w:sz w:val="20"/>
                <w:szCs w:val="20"/>
              </w:rPr>
            </w:pPr>
            <w:hyperlink r:id="rId40" w:history="1">
              <w:r w:rsidR="00325504" w:rsidRPr="0054080A">
                <w:rPr>
                  <w:rFonts w:eastAsia="Times New Roman" w:cstheme="minorHAnsi"/>
                  <w:color w:val="003366"/>
                  <w:sz w:val="20"/>
                  <w:szCs w:val="20"/>
                  <w:u w:val="single"/>
                </w:rPr>
                <w:t>https://www.whitehouse.gov/the-press-office/2017/05/11/presidential-executive-order-strengthening-cybersecurity-federal</w:t>
              </w:r>
            </w:hyperlink>
          </w:p>
        </w:tc>
      </w:tr>
      <w:tr w:rsidR="00325504" w:rsidRPr="00A4306C" w14:paraId="36D49CF0"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DA9403D"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lastRenderedPageBreak/>
              <w:t>DHA AI 077</w:t>
            </w:r>
          </w:p>
          <w:p w14:paraId="6112699B"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Security Categorization (SC) and Control Selection for Information Technology   (IT) </w:t>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A6A4C7B" w14:textId="26470763"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This Defense Health Agency Administrative Instruction (DHA-AI), based on the authority of References (a) and (b), and in accordance with the guidance of References (c) through (h), establishes the DHA’s procedures for the SC and Control Selection for DHA IT.</w:t>
            </w:r>
          </w:p>
          <w:p w14:paraId="6AF5CBBD" w14:textId="77777777" w:rsidR="00CA0BFE" w:rsidRDefault="00CA0BFE" w:rsidP="006D087F">
            <w:pPr>
              <w:spacing w:after="0" w:line="240" w:lineRule="auto"/>
              <w:rPr>
                <w:rFonts w:eastAsia="Times New Roman" w:cstheme="minorHAnsi"/>
                <w:sz w:val="20"/>
                <w:szCs w:val="20"/>
              </w:rPr>
            </w:pPr>
          </w:p>
          <w:p w14:paraId="7B04D71B" w14:textId="0DF32B72"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This AI applies to:</w:t>
            </w:r>
          </w:p>
          <w:p w14:paraId="03BD3181" w14:textId="44D67D05" w:rsidR="00325504" w:rsidRPr="00A4306C" w:rsidRDefault="00325504" w:rsidP="00325504">
            <w:pPr>
              <w:numPr>
                <w:ilvl w:val="0"/>
                <w:numId w:val="2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All DHA personnel, to include: assigned or attached Service members, federal civilians, contractors (when required by the terms of the applicable contract), and other personnel assigned temporary, or permanent duties at DHA to include regional and field activities (remote locations)</w:t>
            </w:r>
          </w:p>
          <w:p w14:paraId="0C20DDBC" w14:textId="73870307" w:rsidR="00325504" w:rsidRPr="00A4306C" w:rsidRDefault="00325504" w:rsidP="00325504">
            <w:pPr>
              <w:numPr>
                <w:ilvl w:val="0"/>
                <w:numId w:val="27"/>
              </w:numPr>
              <w:spacing w:before="100" w:beforeAutospacing="1" w:after="100" w:afterAutospacing="1" w:line="240" w:lineRule="auto"/>
              <w:ind w:left="300"/>
              <w:rPr>
                <w:rFonts w:eastAsia="Times New Roman" w:cstheme="minorHAnsi"/>
                <w:sz w:val="20"/>
                <w:szCs w:val="20"/>
              </w:rPr>
            </w:pPr>
            <w:r w:rsidRPr="00A4306C">
              <w:rPr>
                <w:rFonts w:eastAsia="Times New Roman" w:cstheme="minorHAnsi"/>
                <w:sz w:val="20"/>
                <w:szCs w:val="20"/>
              </w:rPr>
              <w:t>DHA-owned IT or DHA-controlled IT that receives, processes, stores, displays, or transmits Department of Defense (DoD) information</w:t>
            </w:r>
          </w:p>
          <w:p w14:paraId="63E72DCA" w14:textId="77777777" w:rsidR="00325504" w:rsidRPr="00A4306C" w:rsidRDefault="00042C3D" w:rsidP="006D087F">
            <w:pPr>
              <w:spacing w:after="0" w:line="240" w:lineRule="auto"/>
              <w:rPr>
                <w:rFonts w:eastAsia="Times New Roman" w:cstheme="minorHAnsi"/>
                <w:sz w:val="20"/>
                <w:szCs w:val="20"/>
              </w:rPr>
            </w:pPr>
            <w:hyperlink r:id="rId41" w:history="1">
              <w:r w:rsidR="00325504" w:rsidRPr="0054080A">
                <w:rPr>
                  <w:rFonts w:eastAsia="Times New Roman" w:cstheme="minorHAnsi"/>
                  <w:color w:val="003366"/>
                  <w:sz w:val="20"/>
                  <w:szCs w:val="20"/>
                  <w:u w:val="single"/>
                </w:rPr>
                <w:t>DHA AI 077 Security Categorization and Control Selection for IT</w:t>
              </w:r>
            </w:hyperlink>
          </w:p>
        </w:tc>
      </w:tr>
      <w:tr w:rsidR="00325504" w:rsidRPr="00A4306C" w14:paraId="0BA59F0B"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5957503"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S.2184</w:t>
            </w:r>
          </w:p>
          <w:p w14:paraId="21B6B50E"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Veterans Community Care and Access Act of 2017</w:t>
            </w:r>
            <w:r w:rsidRPr="00A4306C">
              <w:rPr>
                <w:rFonts w:eastAsia="Times New Roman" w:cstheme="minorHAnsi"/>
                <w:sz w:val="20"/>
                <w:szCs w:val="20"/>
              </w:rPr>
              <w:br/>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94CA011" w14:textId="77777777" w:rsidR="00325504" w:rsidRPr="00A4306C" w:rsidRDefault="00042C3D" w:rsidP="006D087F">
            <w:pPr>
              <w:spacing w:after="0" w:line="240" w:lineRule="auto"/>
              <w:rPr>
                <w:rFonts w:eastAsia="Times New Roman" w:cstheme="minorHAnsi"/>
                <w:sz w:val="20"/>
                <w:szCs w:val="20"/>
              </w:rPr>
            </w:pPr>
            <w:hyperlink r:id="rId42" w:history="1">
              <w:r w:rsidR="00325504" w:rsidRPr="0054080A">
                <w:rPr>
                  <w:rFonts w:eastAsia="Times New Roman" w:cstheme="minorHAnsi"/>
                  <w:color w:val="003366"/>
                  <w:sz w:val="20"/>
                  <w:szCs w:val="20"/>
                  <w:u w:val="single"/>
                </w:rPr>
                <w:t>https://www.congress.gov/bill/115th-congress/senate-bill/2184/text</w:t>
              </w:r>
            </w:hyperlink>
          </w:p>
        </w:tc>
      </w:tr>
      <w:tr w:rsidR="00325504" w:rsidRPr="00A4306C" w14:paraId="0707A16A"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6BD32E01"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S.2193</w:t>
            </w:r>
          </w:p>
          <w:p w14:paraId="1F98C15E"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Caring for our Veterans Act of 2017</w:t>
            </w:r>
            <w:r w:rsidRPr="00A4306C">
              <w:rPr>
                <w:rFonts w:eastAsia="Times New Roman" w:cstheme="minorHAnsi"/>
                <w:sz w:val="20"/>
                <w:szCs w:val="20"/>
              </w:rPr>
              <w:br/>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23F074B" w14:textId="77777777" w:rsidR="00325504" w:rsidRPr="00A4306C" w:rsidRDefault="00042C3D" w:rsidP="006D087F">
            <w:pPr>
              <w:spacing w:after="0" w:line="240" w:lineRule="auto"/>
              <w:rPr>
                <w:rFonts w:eastAsia="Times New Roman" w:cstheme="minorHAnsi"/>
                <w:sz w:val="20"/>
                <w:szCs w:val="20"/>
              </w:rPr>
            </w:pPr>
            <w:hyperlink r:id="rId43" w:history="1">
              <w:r w:rsidR="00325504" w:rsidRPr="0054080A">
                <w:rPr>
                  <w:rFonts w:eastAsia="Times New Roman" w:cstheme="minorHAnsi"/>
                  <w:color w:val="003366"/>
                  <w:sz w:val="20"/>
                  <w:szCs w:val="20"/>
                  <w:u w:val="single"/>
                </w:rPr>
                <w:t>https://www.congress.gov/115/bills/s2193/BILLS-115s2193pcs.xml</w:t>
              </w:r>
            </w:hyperlink>
          </w:p>
        </w:tc>
      </w:tr>
      <w:tr w:rsidR="00325504" w:rsidRPr="00A4306C" w14:paraId="11DEEA6A"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4AC818D4"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HR 4242 </w:t>
            </w:r>
          </w:p>
          <w:p w14:paraId="796D5521"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VA Care in the Community Act (Section 202)</w:t>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7267C434"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 </w:t>
            </w:r>
            <w:hyperlink r:id="rId44" w:history="1">
              <w:r w:rsidRPr="0054080A">
                <w:rPr>
                  <w:rFonts w:eastAsia="Times New Roman" w:cstheme="minorHAnsi"/>
                  <w:color w:val="003366"/>
                  <w:sz w:val="20"/>
                  <w:szCs w:val="20"/>
                  <w:u w:val="single"/>
                </w:rPr>
                <w:t>https://www.congress.gov/bill/115th-congress/house-bill/4242/text</w:t>
              </w:r>
            </w:hyperlink>
          </w:p>
        </w:tc>
      </w:tr>
      <w:tr w:rsidR="00325504" w:rsidRPr="00A4306C" w14:paraId="7CE957A6"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FD3B129"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42 CFR Part 2</w:t>
            </w:r>
          </w:p>
          <w:p w14:paraId="674044C3"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color w:val="2C2C2C"/>
                <w:sz w:val="20"/>
                <w:szCs w:val="20"/>
              </w:rPr>
              <w:t>Substance Abuse and Confidentiality</w:t>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279AE8FF"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color w:val="323232"/>
                <w:sz w:val="20"/>
                <w:szCs w:val="20"/>
              </w:rPr>
              <w:t xml:space="preserve">This </w:t>
            </w:r>
            <w:r w:rsidRPr="0054080A">
              <w:rPr>
                <w:rFonts w:eastAsia="Times New Roman" w:cstheme="minorHAnsi"/>
                <w:color w:val="323232"/>
                <w:sz w:val="20"/>
                <w:szCs w:val="20"/>
              </w:rPr>
              <w:t>regulation</w:t>
            </w:r>
            <w:r w:rsidRPr="00A4306C">
              <w:rPr>
                <w:rFonts w:eastAsia="Times New Roman" w:cstheme="minorHAnsi"/>
                <w:color w:val="323232"/>
                <w:sz w:val="20"/>
                <w:szCs w:val="20"/>
              </w:rPr>
              <w:t xml:space="preserve"> applies to all records relating to the identity, diagnosis, prognosis, or treatment of any patient in a substance abuse program that is conducted, regulated, or directly or indirectly assisted by any department or agency of the United States. </w:t>
            </w:r>
            <w:r w:rsidRPr="005A1638">
              <w:rPr>
                <w:rFonts w:eastAsia="Times New Roman" w:cstheme="minorHAnsi"/>
                <w:color w:val="323232"/>
                <w:sz w:val="20"/>
                <w:szCs w:val="20"/>
                <w:highlight w:val="yellow"/>
              </w:rPr>
              <w:t>LINK</w:t>
            </w:r>
          </w:p>
        </w:tc>
      </w:tr>
      <w:tr w:rsidR="00325504" w:rsidRPr="00A4306C" w14:paraId="622FE62E" w14:textId="77777777" w:rsidTr="0054080A">
        <w:tc>
          <w:tcPr>
            <w:tcW w:w="2332"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1ED4736B"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t>ISO/IEC 27001:2013</w:t>
            </w:r>
          </w:p>
          <w:p w14:paraId="575C89F0" w14:textId="77777777" w:rsidR="00325504" w:rsidRPr="0054080A" w:rsidRDefault="00325504" w:rsidP="006D087F">
            <w:pPr>
              <w:spacing w:after="0" w:line="240" w:lineRule="auto"/>
              <w:rPr>
                <w:rFonts w:eastAsia="Times New Roman" w:cstheme="minorHAnsi"/>
                <w:sz w:val="20"/>
                <w:szCs w:val="20"/>
              </w:rPr>
            </w:pPr>
          </w:p>
          <w:p w14:paraId="1424B3A0" w14:textId="77777777"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lastRenderedPageBreak/>
              <w:t>International Standard ISO/IEC 27001:2013</w:t>
            </w:r>
            <w:r w:rsidRPr="00A4306C">
              <w:rPr>
                <w:rFonts w:eastAsia="Times New Roman" w:cstheme="minorHAnsi"/>
                <w:sz w:val="20"/>
                <w:szCs w:val="20"/>
              </w:rPr>
              <w:br/>
            </w:r>
          </w:p>
        </w:tc>
        <w:tc>
          <w:tcPr>
            <w:tcW w:w="8190" w:type="dxa"/>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5F0BC921" w14:textId="1D8C180F" w:rsidR="00325504" w:rsidRPr="00A4306C" w:rsidRDefault="00325504" w:rsidP="006D087F">
            <w:pPr>
              <w:spacing w:after="0" w:line="240" w:lineRule="auto"/>
              <w:rPr>
                <w:rFonts w:eastAsia="Times New Roman" w:cstheme="minorHAnsi"/>
                <w:sz w:val="20"/>
                <w:szCs w:val="20"/>
              </w:rPr>
            </w:pPr>
            <w:r w:rsidRPr="00A4306C">
              <w:rPr>
                <w:rFonts w:eastAsia="Times New Roman" w:cstheme="minorHAnsi"/>
                <w:sz w:val="20"/>
                <w:szCs w:val="20"/>
              </w:rPr>
              <w:lastRenderedPageBreak/>
              <w:t xml:space="preserve">This </w:t>
            </w:r>
            <w:r w:rsidRPr="0054080A">
              <w:rPr>
                <w:rFonts w:eastAsia="Times New Roman" w:cstheme="minorHAnsi"/>
                <w:sz w:val="20"/>
                <w:szCs w:val="20"/>
              </w:rPr>
              <w:t>specifie</w:t>
            </w:r>
            <w:r w:rsidR="00CA0BFE">
              <w:rPr>
                <w:rFonts w:eastAsia="Times New Roman" w:cstheme="minorHAnsi"/>
                <w:sz w:val="20"/>
                <w:szCs w:val="20"/>
              </w:rPr>
              <w:t>s</w:t>
            </w:r>
            <w:r w:rsidRPr="00A4306C">
              <w:rPr>
                <w:rFonts w:eastAsia="Times New Roman" w:cstheme="minorHAnsi"/>
                <w:sz w:val="20"/>
                <w:szCs w:val="20"/>
              </w:rPr>
              <w:t xml:space="preserve"> the requirements for establishing, implementing, maintaining and continually improving an information security management system within the context of the organization. It </w:t>
            </w:r>
            <w:r w:rsidRPr="00A4306C">
              <w:rPr>
                <w:rFonts w:eastAsia="Times New Roman" w:cstheme="minorHAnsi"/>
                <w:sz w:val="20"/>
                <w:szCs w:val="20"/>
              </w:rPr>
              <w:lastRenderedPageBreak/>
              <w:t xml:space="preserve">also includes requirements for the assessment and treatment of information security risks tailored to the needs of the organization. The requirements set out in ISO/IEC 27001:2013 are generic and are intended to be applicable to all organizations, regardless of type, size or nature. </w:t>
            </w:r>
            <w:r w:rsidRPr="005A1638">
              <w:rPr>
                <w:rFonts w:eastAsia="Times New Roman" w:cstheme="minorHAnsi"/>
                <w:sz w:val="20"/>
                <w:szCs w:val="20"/>
                <w:highlight w:val="yellow"/>
              </w:rPr>
              <w:t>LINK</w:t>
            </w:r>
          </w:p>
        </w:tc>
      </w:tr>
    </w:tbl>
    <w:p w14:paraId="07D38952" w14:textId="3C09B097" w:rsidR="00CA0BFE" w:rsidRPr="00CA0BFE" w:rsidRDefault="00CA0BFE">
      <w:pPr>
        <w:rPr>
          <w:rFonts w:ascii="Calibri" w:eastAsia="Calibri" w:hAnsi="Calibri" w:cs="Calibri"/>
        </w:rPr>
      </w:pPr>
    </w:p>
    <w:sectPr w:rsidR="00CA0BFE" w:rsidRPr="00CA0BFE" w:rsidSect="008139C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BB9BC" w14:textId="77777777" w:rsidR="00CD702F" w:rsidRDefault="00CD702F" w:rsidP="00724C0F">
      <w:pPr>
        <w:spacing w:after="0" w:line="240" w:lineRule="auto"/>
      </w:pPr>
      <w:r>
        <w:separator/>
      </w:r>
    </w:p>
  </w:endnote>
  <w:endnote w:type="continuationSeparator" w:id="0">
    <w:p w14:paraId="7634EE61" w14:textId="77777777" w:rsidR="00CD702F" w:rsidRDefault="00CD702F" w:rsidP="00724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4FCF1" w14:textId="77777777" w:rsidR="00CD702F" w:rsidRDefault="00CD702F" w:rsidP="00724C0F">
      <w:pPr>
        <w:spacing w:after="0" w:line="240" w:lineRule="auto"/>
      </w:pPr>
      <w:r>
        <w:separator/>
      </w:r>
    </w:p>
  </w:footnote>
  <w:footnote w:type="continuationSeparator" w:id="0">
    <w:p w14:paraId="22B13741" w14:textId="77777777" w:rsidR="00CD702F" w:rsidRDefault="00CD702F" w:rsidP="00724C0F">
      <w:pPr>
        <w:spacing w:after="0" w:line="240" w:lineRule="auto"/>
      </w:pPr>
      <w:r>
        <w:continuationSeparator/>
      </w:r>
    </w:p>
  </w:footnote>
  <w:footnote w:id="1">
    <w:p w14:paraId="299FD237" w14:textId="77777777" w:rsidR="0032308B" w:rsidRPr="0002428F" w:rsidRDefault="0032308B" w:rsidP="00FA2DC2">
      <w:pPr>
        <w:pStyle w:val="FootnoteText"/>
        <w:rPr>
          <w:rFonts w:cstheme="minorHAnsi"/>
        </w:rPr>
      </w:pPr>
      <w:r>
        <w:rPr>
          <w:rStyle w:val="FootnoteReference"/>
        </w:rPr>
        <w:footnoteRef/>
      </w:r>
      <w:r>
        <w:t xml:space="preserve"> </w:t>
      </w:r>
      <w:r w:rsidRPr="0002428F">
        <w:rPr>
          <w:rFonts w:cstheme="minorHAnsi"/>
        </w:rPr>
        <w:t xml:space="preserve">NIST is </w:t>
      </w:r>
      <w:r w:rsidRPr="0002428F">
        <w:rPr>
          <w:rFonts w:eastAsia="Times New Roman" w:cstheme="minorHAnsi"/>
        </w:rPr>
        <w:t>a non-regulatory agency whose missions is t</w:t>
      </w:r>
      <w:r w:rsidRPr="0002428F">
        <w:rPr>
          <w:rFonts w:cstheme="minorHAnsi"/>
        </w:rPr>
        <w:t>o promote U.S. innovation and industrial competitiveness by advancing measurement science, standards, and technology in ways that enhance economic security and improve our quality of life.</w:t>
      </w:r>
      <w:r>
        <w:rPr>
          <w:rFonts w:cstheme="minorHAnsi"/>
        </w:rPr>
        <w:t xml:space="preserve"> </w:t>
      </w:r>
      <w:hyperlink r:id="rId1" w:history="1">
        <w:r w:rsidRPr="000905F6">
          <w:rPr>
            <w:rStyle w:val="Hyperlink"/>
            <w:rFonts w:cstheme="minorHAnsi"/>
          </w:rPr>
          <w:t>https://www.nist.gov/about-nist/our-organization/mission-vision-values</w:t>
        </w:r>
      </w:hyperlink>
      <w:r>
        <w:rPr>
          <w:rFonts w:cstheme="minorHAnsi"/>
        </w:rPr>
        <w:t xml:space="preserve"> </w:t>
      </w:r>
    </w:p>
  </w:footnote>
  <w:footnote w:id="2">
    <w:p w14:paraId="50921723" w14:textId="46E02389" w:rsidR="0032308B" w:rsidRDefault="0032308B">
      <w:pPr>
        <w:pStyle w:val="FootnoteText"/>
      </w:pPr>
      <w:r>
        <w:rPr>
          <w:rStyle w:val="FootnoteReference"/>
        </w:rPr>
        <w:footnoteRef/>
      </w:r>
      <w:r>
        <w:t xml:space="preserve"> </w:t>
      </w:r>
      <w:r w:rsidRPr="00021CA6">
        <w:t>https://searchsecurity.techtarget.com/definition/Federal-Information-Security-Management-Act</w:t>
      </w:r>
    </w:p>
  </w:footnote>
  <w:footnote w:id="3">
    <w:p w14:paraId="6DAD56A7" w14:textId="77777777" w:rsidR="0032308B" w:rsidRDefault="0032308B" w:rsidP="00EC4451">
      <w:pPr>
        <w:pStyle w:val="FootnoteText"/>
      </w:pPr>
      <w:r>
        <w:rPr>
          <w:rStyle w:val="FootnoteReference"/>
        </w:rPr>
        <w:footnoteRef/>
      </w:r>
      <w:r>
        <w:t xml:space="preserve"> </w:t>
      </w:r>
      <w:r w:rsidRPr="00F352C7">
        <w:rPr>
          <w:rFonts w:cstheme="minorHAnsi"/>
          <w:color w:val="171717"/>
          <w:shd w:val="clear" w:color="auto" w:fill="FFFFFF"/>
        </w:rPr>
        <w:t>Https://www.vmracks.com/resources/hipaa-compliant-hosting-insights/how-fisma-requirements-can-impact-hipaa-compliance/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22D05F"/>
    <w:multiLevelType w:val="hybridMultilevel"/>
    <w:tmpl w:val="5BE30C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45741"/>
    <w:multiLevelType w:val="hybridMultilevel"/>
    <w:tmpl w:val="37646A9A"/>
    <w:lvl w:ilvl="0" w:tplc="9ADC8E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A4EA2"/>
    <w:multiLevelType w:val="hybridMultilevel"/>
    <w:tmpl w:val="D910EAFC"/>
    <w:lvl w:ilvl="0" w:tplc="04090001">
      <w:start w:val="1"/>
      <w:numFmt w:val="bullet"/>
      <w:lvlText w:val=""/>
      <w:lvlJc w:val="left"/>
      <w:pPr>
        <w:ind w:left="770" w:hanging="360"/>
      </w:pPr>
      <w:rPr>
        <w:rFonts w:ascii="Symbol" w:hAnsi="Symbol" w:hint="default"/>
      </w:rPr>
    </w:lvl>
    <w:lvl w:ilvl="1" w:tplc="DADCA600">
      <w:start w:val="1"/>
      <w:numFmt w:val="bullet"/>
      <w:lvlText w:val=""/>
      <w:lvlJc w:val="left"/>
      <w:pPr>
        <w:ind w:left="1490" w:hanging="360"/>
      </w:pPr>
      <w:rPr>
        <w:rFonts w:ascii="Symbol" w:hAnsi="Symbol"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3" w15:restartNumberingAfterBreak="0">
    <w:nsid w:val="113C5FDE"/>
    <w:multiLevelType w:val="multilevel"/>
    <w:tmpl w:val="24565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E81A00"/>
    <w:multiLevelType w:val="multilevel"/>
    <w:tmpl w:val="4F16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897591"/>
    <w:multiLevelType w:val="multilevel"/>
    <w:tmpl w:val="10F00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577962"/>
    <w:multiLevelType w:val="multilevel"/>
    <w:tmpl w:val="EE76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0721C"/>
    <w:multiLevelType w:val="multilevel"/>
    <w:tmpl w:val="F8F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3E2FAA"/>
    <w:multiLevelType w:val="hybridMultilevel"/>
    <w:tmpl w:val="A92A2288"/>
    <w:lvl w:ilvl="0" w:tplc="DADCA6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304AC"/>
    <w:multiLevelType w:val="multilevel"/>
    <w:tmpl w:val="CCEC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DC35CF"/>
    <w:multiLevelType w:val="multilevel"/>
    <w:tmpl w:val="23D6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1E2F3C"/>
    <w:multiLevelType w:val="multilevel"/>
    <w:tmpl w:val="940E4B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B5BB1"/>
    <w:multiLevelType w:val="hybridMultilevel"/>
    <w:tmpl w:val="A240DC6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3" w15:restartNumberingAfterBreak="0">
    <w:nsid w:val="38A97CFC"/>
    <w:multiLevelType w:val="multilevel"/>
    <w:tmpl w:val="3BD0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C17A25"/>
    <w:multiLevelType w:val="multilevel"/>
    <w:tmpl w:val="6DE20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E1706F"/>
    <w:multiLevelType w:val="multilevel"/>
    <w:tmpl w:val="53C8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643ABF"/>
    <w:multiLevelType w:val="hybridMultilevel"/>
    <w:tmpl w:val="E772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E75A1"/>
    <w:multiLevelType w:val="multilevel"/>
    <w:tmpl w:val="C84A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DE7FCD"/>
    <w:multiLevelType w:val="multilevel"/>
    <w:tmpl w:val="85FC9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9C5198"/>
    <w:multiLevelType w:val="hybridMultilevel"/>
    <w:tmpl w:val="EFAEA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6564A9"/>
    <w:multiLevelType w:val="hybridMultilevel"/>
    <w:tmpl w:val="968E39B2"/>
    <w:lvl w:ilvl="0" w:tplc="AC2471AC">
      <w:start w:val="1"/>
      <w:numFmt w:val="upperLetter"/>
      <w:lvlText w:val="(%1)"/>
      <w:lvlJc w:val="left"/>
      <w:pPr>
        <w:tabs>
          <w:tab w:val="num" w:pos="720"/>
        </w:tabs>
        <w:ind w:left="720" w:hanging="360"/>
      </w:pPr>
      <w:rPr>
        <w:b w:val="0"/>
      </w:rPr>
    </w:lvl>
    <w:lvl w:ilvl="1" w:tplc="F3B4EB8E" w:tentative="1">
      <w:start w:val="1"/>
      <w:numFmt w:val="upperLetter"/>
      <w:lvlText w:val="(%2)"/>
      <w:lvlJc w:val="left"/>
      <w:pPr>
        <w:tabs>
          <w:tab w:val="num" w:pos="1440"/>
        </w:tabs>
        <w:ind w:left="1440" w:hanging="360"/>
      </w:pPr>
    </w:lvl>
    <w:lvl w:ilvl="2" w:tplc="4C4C5576" w:tentative="1">
      <w:start w:val="1"/>
      <w:numFmt w:val="upperLetter"/>
      <w:lvlText w:val="(%3)"/>
      <w:lvlJc w:val="left"/>
      <w:pPr>
        <w:tabs>
          <w:tab w:val="num" w:pos="2160"/>
        </w:tabs>
        <w:ind w:left="2160" w:hanging="360"/>
      </w:pPr>
    </w:lvl>
    <w:lvl w:ilvl="3" w:tplc="05A039AE" w:tentative="1">
      <w:start w:val="1"/>
      <w:numFmt w:val="upperLetter"/>
      <w:lvlText w:val="(%4)"/>
      <w:lvlJc w:val="left"/>
      <w:pPr>
        <w:tabs>
          <w:tab w:val="num" w:pos="2880"/>
        </w:tabs>
        <w:ind w:left="2880" w:hanging="360"/>
      </w:pPr>
    </w:lvl>
    <w:lvl w:ilvl="4" w:tplc="29200228" w:tentative="1">
      <w:start w:val="1"/>
      <w:numFmt w:val="upperLetter"/>
      <w:lvlText w:val="(%5)"/>
      <w:lvlJc w:val="left"/>
      <w:pPr>
        <w:tabs>
          <w:tab w:val="num" w:pos="3600"/>
        </w:tabs>
        <w:ind w:left="3600" w:hanging="360"/>
      </w:pPr>
    </w:lvl>
    <w:lvl w:ilvl="5" w:tplc="3BD4B942" w:tentative="1">
      <w:start w:val="1"/>
      <w:numFmt w:val="upperLetter"/>
      <w:lvlText w:val="(%6)"/>
      <w:lvlJc w:val="left"/>
      <w:pPr>
        <w:tabs>
          <w:tab w:val="num" w:pos="4320"/>
        </w:tabs>
        <w:ind w:left="4320" w:hanging="360"/>
      </w:pPr>
    </w:lvl>
    <w:lvl w:ilvl="6" w:tplc="C3E4B08E" w:tentative="1">
      <w:start w:val="1"/>
      <w:numFmt w:val="upperLetter"/>
      <w:lvlText w:val="(%7)"/>
      <w:lvlJc w:val="left"/>
      <w:pPr>
        <w:tabs>
          <w:tab w:val="num" w:pos="5040"/>
        </w:tabs>
        <w:ind w:left="5040" w:hanging="360"/>
      </w:pPr>
    </w:lvl>
    <w:lvl w:ilvl="7" w:tplc="C45EED32" w:tentative="1">
      <w:start w:val="1"/>
      <w:numFmt w:val="upperLetter"/>
      <w:lvlText w:val="(%8)"/>
      <w:lvlJc w:val="left"/>
      <w:pPr>
        <w:tabs>
          <w:tab w:val="num" w:pos="5760"/>
        </w:tabs>
        <w:ind w:left="5760" w:hanging="360"/>
      </w:pPr>
    </w:lvl>
    <w:lvl w:ilvl="8" w:tplc="3FE0EFE4" w:tentative="1">
      <w:start w:val="1"/>
      <w:numFmt w:val="upperLetter"/>
      <w:lvlText w:val="(%9)"/>
      <w:lvlJc w:val="left"/>
      <w:pPr>
        <w:tabs>
          <w:tab w:val="num" w:pos="6480"/>
        </w:tabs>
        <w:ind w:left="6480" w:hanging="360"/>
      </w:pPr>
    </w:lvl>
  </w:abstractNum>
  <w:abstractNum w:abstractNumId="21" w15:restartNumberingAfterBreak="0">
    <w:nsid w:val="4B362A91"/>
    <w:multiLevelType w:val="hybridMultilevel"/>
    <w:tmpl w:val="6444FA3E"/>
    <w:lvl w:ilvl="0" w:tplc="B8D67E52">
      <w:start w:val="1"/>
      <w:numFmt w:val="bullet"/>
      <w:lvlText w:val="•"/>
      <w:lvlJc w:val="left"/>
      <w:pPr>
        <w:tabs>
          <w:tab w:val="num" w:pos="720"/>
        </w:tabs>
        <w:ind w:left="720" w:hanging="360"/>
      </w:pPr>
      <w:rPr>
        <w:rFonts w:ascii="Arial" w:hAnsi="Arial" w:hint="default"/>
      </w:rPr>
    </w:lvl>
    <w:lvl w:ilvl="1" w:tplc="8C3095A0" w:tentative="1">
      <w:start w:val="1"/>
      <w:numFmt w:val="bullet"/>
      <w:lvlText w:val="•"/>
      <w:lvlJc w:val="left"/>
      <w:pPr>
        <w:tabs>
          <w:tab w:val="num" w:pos="1440"/>
        </w:tabs>
        <w:ind w:left="1440" w:hanging="360"/>
      </w:pPr>
      <w:rPr>
        <w:rFonts w:ascii="Arial" w:hAnsi="Arial" w:hint="default"/>
      </w:rPr>
    </w:lvl>
    <w:lvl w:ilvl="2" w:tplc="BB80C204" w:tentative="1">
      <w:start w:val="1"/>
      <w:numFmt w:val="bullet"/>
      <w:lvlText w:val="•"/>
      <w:lvlJc w:val="left"/>
      <w:pPr>
        <w:tabs>
          <w:tab w:val="num" w:pos="2160"/>
        </w:tabs>
        <w:ind w:left="2160" w:hanging="360"/>
      </w:pPr>
      <w:rPr>
        <w:rFonts w:ascii="Arial" w:hAnsi="Arial" w:hint="default"/>
      </w:rPr>
    </w:lvl>
    <w:lvl w:ilvl="3" w:tplc="AC7ED88E" w:tentative="1">
      <w:start w:val="1"/>
      <w:numFmt w:val="bullet"/>
      <w:lvlText w:val="•"/>
      <w:lvlJc w:val="left"/>
      <w:pPr>
        <w:tabs>
          <w:tab w:val="num" w:pos="2880"/>
        </w:tabs>
        <w:ind w:left="2880" w:hanging="360"/>
      </w:pPr>
      <w:rPr>
        <w:rFonts w:ascii="Arial" w:hAnsi="Arial" w:hint="default"/>
      </w:rPr>
    </w:lvl>
    <w:lvl w:ilvl="4" w:tplc="77300080" w:tentative="1">
      <w:start w:val="1"/>
      <w:numFmt w:val="bullet"/>
      <w:lvlText w:val="•"/>
      <w:lvlJc w:val="left"/>
      <w:pPr>
        <w:tabs>
          <w:tab w:val="num" w:pos="3600"/>
        </w:tabs>
        <w:ind w:left="3600" w:hanging="360"/>
      </w:pPr>
      <w:rPr>
        <w:rFonts w:ascii="Arial" w:hAnsi="Arial" w:hint="default"/>
      </w:rPr>
    </w:lvl>
    <w:lvl w:ilvl="5" w:tplc="A01CE682" w:tentative="1">
      <w:start w:val="1"/>
      <w:numFmt w:val="bullet"/>
      <w:lvlText w:val="•"/>
      <w:lvlJc w:val="left"/>
      <w:pPr>
        <w:tabs>
          <w:tab w:val="num" w:pos="4320"/>
        </w:tabs>
        <w:ind w:left="4320" w:hanging="360"/>
      </w:pPr>
      <w:rPr>
        <w:rFonts w:ascii="Arial" w:hAnsi="Arial" w:hint="default"/>
      </w:rPr>
    </w:lvl>
    <w:lvl w:ilvl="6" w:tplc="C2A2446A" w:tentative="1">
      <w:start w:val="1"/>
      <w:numFmt w:val="bullet"/>
      <w:lvlText w:val="•"/>
      <w:lvlJc w:val="left"/>
      <w:pPr>
        <w:tabs>
          <w:tab w:val="num" w:pos="5040"/>
        </w:tabs>
        <w:ind w:left="5040" w:hanging="360"/>
      </w:pPr>
      <w:rPr>
        <w:rFonts w:ascii="Arial" w:hAnsi="Arial" w:hint="default"/>
      </w:rPr>
    </w:lvl>
    <w:lvl w:ilvl="7" w:tplc="14E04486" w:tentative="1">
      <w:start w:val="1"/>
      <w:numFmt w:val="bullet"/>
      <w:lvlText w:val="•"/>
      <w:lvlJc w:val="left"/>
      <w:pPr>
        <w:tabs>
          <w:tab w:val="num" w:pos="5760"/>
        </w:tabs>
        <w:ind w:left="5760" w:hanging="360"/>
      </w:pPr>
      <w:rPr>
        <w:rFonts w:ascii="Arial" w:hAnsi="Arial" w:hint="default"/>
      </w:rPr>
    </w:lvl>
    <w:lvl w:ilvl="8" w:tplc="24FAD6D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2C696E"/>
    <w:multiLevelType w:val="hybridMultilevel"/>
    <w:tmpl w:val="E2FA3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0A2B97"/>
    <w:multiLevelType w:val="hybridMultilevel"/>
    <w:tmpl w:val="E5B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F51ED"/>
    <w:multiLevelType w:val="multilevel"/>
    <w:tmpl w:val="8430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F41597"/>
    <w:multiLevelType w:val="multilevel"/>
    <w:tmpl w:val="FB9A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7F3B7C"/>
    <w:multiLevelType w:val="hybridMultilevel"/>
    <w:tmpl w:val="A5C2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E44107"/>
    <w:multiLevelType w:val="hybridMultilevel"/>
    <w:tmpl w:val="E4FEA87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4F0202E"/>
    <w:multiLevelType w:val="multilevel"/>
    <w:tmpl w:val="9F7E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926796"/>
    <w:multiLevelType w:val="hybridMultilevel"/>
    <w:tmpl w:val="79AEA76C"/>
    <w:lvl w:ilvl="0" w:tplc="42F06EE6">
      <w:start w:val="1"/>
      <w:numFmt w:val="bullet"/>
      <w:lvlText w:val="•"/>
      <w:lvlJc w:val="left"/>
      <w:pPr>
        <w:tabs>
          <w:tab w:val="num" w:pos="720"/>
        </w:tabs>
        <w:ind w:left="720" w:hanging="360"/>
      </w:pPr>
      <w:rPr>
        <w:rFonts w:ascii="Arial" w:hAnsi="Arial" w:hint="default"/>
      </w:rPr>
    </w:lvl>
    <w:lvl w:ilvl="1" w:tplc="0BA0597E" w:tentative="1">
      <w:start w:val="1"/>
      <w:numFmt w:val="bullet"/>
      <w:lvlText w:val="•"/>
      <w:lvlJc w:val="left"/>
      <w:pPr>
        <w:tabs>
          <w:tab w:val="num" w:pos="1440"/>
        </w:tabs>
        <w:ind w:left="1440" w:hanging="360"/>
      </w:pPr>
      <w:rPr>
        <w:rFonts w:ascii="Arial" w:hAnsi="Arial" w:hint="default"/>
      </w:rPr>
    </w:lvl>
    <w:lvl w:ilvl="2" w:tplc="9292517C" w:tentative="1">
      <w:start w:val="1"/>
      <w:numFmt w:val="bullet"/>
      <w:lvlText w:val="•"/>
      <w:lvlJc w:val="left"/>
      <w:pPr>
        <w:tabs>
          <w:tab w:val="num" w:pos="2160"/>
        </w:tabs>
        <w:ind w:left="2160" w:hanging="360"/>
      </w:pPr>
      <w:rPr>
        <w:rFonts w:ascii="Arial" w:hAnsi="Arial" w:hint="default"/>
      </w:rPr>
    </w:lvl>
    <w:lvl w:ilvl="3" w:tplc="6F9AF5C0" w:tentative="1">
      <w:start w:val="1"/>
      <w:numFmt w:val="bullet"/>
      <w:lvlText w:val="•"/>
      <w:lvlJc w:val="left"/>
      <w:pPr>
        <w:tabs>
          <w:tab w:val="num" w:pos="2880"/>
        </w:tabs>
        <w:ind w:left="2880" w:hanging="360"/>
      </w:pPr>
      <w:rPr>
        <w:rFonts w:ascii="Arial" w:hAnsi="Arial" w:hint="default"/>
      </w:rPr>
    </w:lvl>
    <w:lvl w:ilvl="4" w:tplc="66880810" w:tentative="1">
      <w:start w:val="1"/>
      <w:numFmt w:val="bullet"/>
      <w:lvlText w:val="•"/>
      <w:lvlJc w:val="left"/>
      <w:pPr>
        <w:tabs>
          <w:tab w:val="num" w:pos="3600"/>
        </w:tabs>
        <w:ind w:left="3600" w:hanging="360"/>
      </w:pPr>
      <w:rPr>
        <w:rFonts w:ascii="Arial" w:hAnsi="Arial" w:hint="default"/>
      </w:rPr>
    </w:lvl>
    <w:lvl w:ilvl="5" w:tplc="A8F2C322" w:tentative="1">
      <w:start w:val="1"/>
      <w:numFmt w:val="bullet"/>
      <w:lvlText w:val="•"/>
      <w:lvlJc w:val="left"/>
      <w:pPr>
        <w:tabs>
          <w:tab w:val="num" w:pos="4320"/>
        </w:tabs>
        <w:ind w:left="4320" w:hanging="360"/>
      </w:pPr>
      <w:rPr>
        <w:rFonts w:ascii="Arial" w:hAnsi="Arial" w:hint="default"/>
      </w:rPr>
    </w:lvl>
    <w:lvl w:ilvl="6" w:tplc="76669FF8" w:tentative="1">
      <w:start w:val="1"/>
      <w:numFmt w:val="bullet"/>
      <w:lvlText w:val="•"/>
      <w:lvlJc w:val="left"/>
      <w:pPr>
        <w:tabs>
          <w:tab w:val="num" w:pos="5040"/>
        </w:tabs>
        <w:ind w:left="5040" w:hanging="360"/>
      </w:pPr>
      <w:rPr>
        <w:rFonts w:ascii="Arial" w:hAnsi="Arial" w:hint="default"/>
      </w:rPr>
    </w:lvl>
    <w:lvl w:ilvl="7" w:tplc="6BDEBAE0" w:tentative="1">
      <w:start w:val="1"/>
      <w:numFmt w:val="bullet"/>
      <w:lvlText w:val="•"/>
      <w:lvlJc w:val="left"/>
      <w:pPr>
        <w:tabs>
          <w:tab w:val="num" w:pos="5760"/>
        </w:tabs>
        <w:ind w:left="5760" w:hanging="360"/>
      </w:pPr>
      <w:rPr>
        <w:rFonts w:ascii="Arial" w:hAnsi="Arial" w:hint="default"/>
      </w:rPr>
    </w:lvl>
    <w:lvl w:ilvl="8" w:tplc="9A42723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D32EF7"/>
    <w:multiLevelType w:val="multilevel"/>
    <w:tmpl w:val="00FC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FB717A"/>
    <w:multiLevelType w:val="hybridMultilevel"/>
    <w:tmpl w:val="4F74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86D63"/>
    <w:multiLevelType w:val="multilevel"/>
    <w:tmpl w:val="8A763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C67BED"/>
    <w:multiLevelType w:val="multilevel"/>
    <w:tmpl w:val="14EC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81298D"/>
    <w:multiLevelType w:val="hybridMultilevel"/>
    <w:tmpl w:val="9A7C1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95FC1"/>
    <w:multiLevelType w:val="multilevel"/>
    <w:tmpl w:val="8D80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C764F2"/>
    <w:multiLevelType w:val="multilevel"/>
    <w:tmpl w:val="C6F89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3"/>
  </w:num>
  <w:num w:numId="4">
    <w:abstractNumId w:val="32"/>
  </w:num>
  <w:num w:numId="5">
    <w:abstractNumId w:val="5"/>
  </w:num>
  <w:num w:numId="6">
    <w:abstractNumId w:val="11"/>
  </w:num>
  <w:num w:numId="7">
    <w:abstractNumId w:val="19"/>
  </w:num>
  <w:num w:numId="8">
    <w:abstractNumId w:val="34"/>
  </w:num>
  <w:num w:numId="9">
    <w:abstractNumId w:val="20"/>
  </w:num>
  <w:num w:numId="10">
    <w:abstractNumId w:val="29"/>
  </w:num>
  <w:num w:numId="11">
    <w:abstractNumId w:val="16"/>
  </w:num>
  <w:num w:numId="12">
    <w:abstractNumId w:val="0"/>
  </w:num>
  <w:num w:numId="13">
    <w:abstractNumId w:val="27"/>
  </w:num>
  <w:num w:numId="14">
    <w:abstractNumId w:val="21"/>
  </w:num>
  <w:num w:numId="15">
    <w:abstractNumId w:val="4"/>
  </w:num>
  <w:num w:numId="16">
    <w:abstractNumId w:val="10"/>
  </w:num>
  <w:num w:numId="17">
    <w:abstractNumId w:val="6"/>
  </w:num>
  <w:num w:numId="18">
    <w:abstractNumId w:val="30"/>
  </w:num>
  <w:num w:numId="19">
    <w:abstractNumId w:val="24"/>
  </w:num>
  <w:num w:numId="20">
    <w:abstractNumId w:val="17"/>
  </w:num>
  <w:num w:numId="21">
    <w:abstractNumId w:val="9"/>
  </w:num>
  <w:num w:numId="22">
    <w:abstractNumId w:val="15"/>
  </w:num>
  <w:num w:numId="23">
    <w:abstractNumId w:val="25"/>
  </w:num>
  <w:num w:numId="24">
    <w:abstractNumId w:val="7"/>
  </w:num>
  <w:num w:numId="25">
    <w:abstractNumId w:val="13"/>
  </w:num>
  <w:num w:numId="26">
    <w:abstractNumId w:val="33"/>
  </w:num>
  <w:num w:numId="27">
    <w:abstractNumId w:val="35"/>
  </w:num>
  <w:num w:numId="28">
    <w:abstractNumId w:val="31"/>
  </w:num>
  <w:num w:numId="29">
    <w:abstractNumId w:val="12"/>
  </w:num>
  <w:num w:numId="30">
    <w:abstractNumId w:val="36"/>
  </w:num>
  <w:num w:numId="31">
    <w:abstractNumId w:val="22"/>
  </w:num>
  <w:num w:numId="32">
    <w:abstractNumId w:val="23"/>
  </w:num>
  <w:num w:numId="33">
    <w:abstractNumId w:val="26"/>
  </w:num>
  <w:num w:numId="34">
    <w:abstractNumId w:val="28"/>
  </w:num>
  <w:num w:numId="35">
    <w:abstractNumId w:val="2"/>
  </w:num>
  <w:num w:numId="36">
    <w:abstractNumId w:val="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4A0"/>
    <w:rsid w:val="00006676"/>
    <w:rsid w:val="000123E0"/>
    <w:rsid w:val="00014085"/>
    <w:rsid w:val="00020890"/>
    <w:rsid w:val="00021CA6"/>
    <w:rsid w:val="00042C3D"/>
    <w:rsid w:val="000627F8"/>
    <w:rsid w:val="0006644E"/>
    <w:rsid w:val="00077524"/>
    <w:rsid w:val="000824D7"/>
    <w:rsid w:val="00082F1E"/>
    <w:rsid w:val="00084CE6"/>
    <w:rsid w:val="000A56A1"/>
    <w:rsid w:val="000A56B8"/>
    <w:rsid w:val="000C57A1"/>
    <w:rsid w:val="000D735F"/>
    <w:rsid w:val="000D7E3F"/>
    <w:rsid w:val="000E4F07"/>
    <w:rsid w:val="000F53DE"/>
    <w:rsid w:val="00140939"/>
    <w:rsid w:val="001504F2"/>
    <w:rsid w:val="001635E7"/>
    <w:rsid w:val="00167AFB"/>
    <w:rsid w:val="00173CCB"/>
    <w:rsid w:val="00176E45"/>
    <w:rsid w:val="0017764D"/>
    <w:rsid w:val="00192819"/>
    <w:rsid w:val="001946F0"/>
    <w:rsid w:val="001A32A8"/>
    <w:rsid w:val="001B1AC5"/>
    <w:rsid w:val="001B70CB"/>
    <w:rsid w:val="001C4A39"/>
    <w:rsid w:val="001D1816"/>
    <w:rsid w:val="001D6AEC"/>
    <w:rsid w:val="00202268"/>
    <w:rsid w:val="002216B2"/>
    <w:rsid w:val="00221CC3"/>
    <w:rsid w:val="0022423A"/>
    <w:rsid w:val="00224426"/>
    <w:rsid w:val="002326CA"/>
    <w:rsid w:val="00243CDF"/>
    <w:rsid w:val="002801D7"/>
    <w:rsid w:val="00284C8D"/>
    <w:rsid w:val="002A6293"/>
    <w:rsid w:val="002A6604"/>
    <w:rsid w:val="002B164E"/>
    <w:rsid w:val="002B3341"/>
    <w:rsid w:val="002B4F96"/>
    <w:rsid w:val="002B6F14"/>
    <w:rsid w:val="002B75F8"/>
    <w:rsid w:val="002C7546"/>
    <w:rsid w:val="002D1143"/>
    <w:rsid w:val="002D2220"/>
    <w:rsid w:val="002F11BB"/>
    <w:rsid w:val="002F2C45"/>
    <w:rsid w:val="002F414A"/>
    <w:rsid w:val="002F7E8F"/>
    <w:rsid w:val="0032308B"/>
    <w:rsid w:val="00325504"/>
    <w:rsid w:val="00325F24"/>
    <w:rsid w:val="003400B8"/>
    <w:rsid w:val="00370060"/>
    <w:rsid w:val="003766E2"/>
    <w:rsid w:val="00377AE3"/>
    <w:rsid w:val="003961A2"/>
    <w:rsid w:val="003C19BA"/>
    <w:rsid w:val="003E1C82"/>
    <w:rsid w:val="003E25AB"/>
    <w:rsid w:val="003F3781"/>
    <w:rsid w:val="00400304"/>
    <w:rsid w:val="00406C7C"/>
    <w:rsid w:val="00412F5A"/>
    <w:rsid w:val="00412F6D"/>
    <w:rsid w:val="0041610E"/>
    <w:rsid w:val="0042745C"/>
    <w:rsid w:val="004435F9"/>
    <w:rsid w:val="004555C7"/>
    <w:rsid w:val="0045626C"/>
    <w:rsid w:val="0046277A"/>
    <w:rsid w:val="004671E0"/>
    <w:rsid w:val="00472121"/>
    <w:rsid w:val="00477505"/>
    <w:rsid w:val="00492141"/>
    <w:rsid w:val="00492C9C"/>
    <w:rsid w:val="00495286"/>
    <w:rsid w:val="004A101C"/>
    <w:rsid w:val="004B1761"/>
    <w:rsid w:val="004B6592"/>
    <w:rsid w:val="004C16C8"/>
    <w:rsid w:val="004C1886"/>
    <w:rsid w:val="004C45D2"/>
    <w:rsid w:val="004C746A"/>
    <w:rsid w:val="004E735E"/>
    <w:rsid w:val="00501A2C"/>
    <w:rsid w:val="00502A74"/>
    <w:rsid w:val="00516BEA"/>
    <w:rsid w:val="0054080A"/>
    <w:rsid w:val="00550549"/>
    <w:rsid w:val="005610CF"/>
    <w:rsid w:val="0056180E"/>
    <w:rsid w:val="00567F67"/>
    <w:rsid w:val="00583887"/>
    <w:rsid w:val="005850D4"/>
    <w:rsid w:val="00591101"/>
    <w:rsid w:val="005A1638"/>
    <w:rsid w:val="005A1916"/>
    <w:rsid w:val="005A601A"/>
    <w:rsid w:val="005D5836"/>
    <w:rsid w:val="005D695A"/>
    <w:rsid w:val="005E1FDB"/>
    <w:rsid w:val="005F09AB"/>
    <w:rsid w:val="005F3A25"/>
    <w:rsid w:val="005F79BF"/>
    <w:rsid w:val="00606621"/>
    <w:rsid w:val="006122E6"/>
    <w:rsid w:val="006264A0"/>
    <w:rsid w:val="00631B00"/>
    <w:rsid w:val="00640D17"/>
    <w:rsid w:val="00641721"/>
    <w:rsid w:val="00677DAD"/>
    <w:rsid w:val="00694159"/>
    <w:rsid w:val="006B1A1E"/>
    <w:rsid w:val="006C6B4A"/>
    <w:rsid w:val="006C7005"/>
    <w:rsid w:val="006D087F"/>
    <w:rsid w:val="006E41F3"/>
    <w:rsid w:val="006E62A1"/>
    <w:rsid w:val="006E6B07"/>
    <w:rsid w:val="00706BCA"/>
    <w:rsid w:val="00712E49"/>
    <w:rsid w:val="00715689"/>
    <w:rsid w:val="00723A0D"/>
    <w:rsid w:val="00724C0F"/>
    <w:rsid w:val="007477FF"/>
    <w:rsid w:val="0076117C"/>
    <w:rsid w:val="00786024"/>
    <w:rsid w:val="007B16F3"/>
    <w:rsid w:val="007B465C"/>
    <w:rsid w:val="007B75B8"/>
    <w:rsid w:val="007E28EA"/>
    <w:rsid w:val="007F0317"/>
    <w:rsid w:val="007F0417"/>
    <w:rsid w:val="007F4BD7"/>
    <w:rsid w:val="007F4E83"/>
    <w:rsid w:val="007F4F32"/>
    <w:rsid w:val="008073DA"/>
    <w:rsid w:val="008139CF"/>
    <w:rsid w:val="00816CCE"/>
    <w:rsid w:val="0082495E"/>
    <w:rsid w:val="00841B9E"/>
    <w:rsid w:val="008539A0"/>
    <w:rsid w:val="00860690"/>
    <w:rsid w:val="00873DE6"/>
    <w:rsid w:val="00891338"/>
    <w:rsid w:val="00894F27"/>
    <w:rsid w:val="008A5770"/>
    <w:rsid w:val="008B4BF7"/>
    <w:rsid w:val="008C05DF"/>
    <w:rsid w:val="008D166D"/>
    <w:rsid w:val="008D1DC5"/>
    <w:rsid w:val="008E1673"/>
    <w:rsid w:val="008E2E26"/>
    <w:rsid w:val="008F2432"/>
    <w:rsid w:val="009010EB"/>
    <w:rsid w:val="009046B6"/>
    <w:rsid w:val="00914E5C"/>
    <w:rsid w:val="00945FE7"/>
    <w:rsid w:val="009468A3"/>
    <w:rsid w:val="009474AB"/>
    <w:rsid w:val="00955976"/>
    <w:rsid w:val="00972530"/>
    <w:rsid w:val="00976D00"/>
    <w:rsid w:val="00986687"/>
    <w:rsid w:val="0099090D"/>
    <w:rsid w:val="009A1FD0"/>
    <w:rsid w:val="009A23CA"/>
    <w:rsid w:val="009B6365"/>
    <w:rsid w:val="009B7AA7"/>
    <w:rsid w:val="009C03F5"/>
    <w:rsid w:val="009C299E"/>
    <w:rsid w:val="009D3AF3"/>
    <w:rsid w:val="009E3D4C"/>
    <w:rsid w:val="009F445F"/>
    <w:rsid w:val="009F55BD"/>
    <w:rsid w:val="00A03269"/>
    <w:rsid w:val="00A03750"/>
    <w:rsid w:val="00A20818"/>
    <w:rsid w:val="00A23614"/>
    <w:rsid w:val="00A32740"/>
    <w:rsid w:val="00A37D58"/>
    <w:rsid w:val="00A45632"/>
    <w:rsid w:val="00A52440"/>
    <w:rsid w:val="00A53C6F"/>
    <w:rsid w:val="00A54AB3"/>
    <w:rsid w:val="00A615AE"/>
    <w:rsid w:val="00A707E7"/>
    <w:rsid w:val="00A90B32"/>
    <w:rsid w:val="00A94A64"/>
    <w:rsid w:val="00AA14CB"/>
    <w:rsid w:val="00AB1215"/>
    <w:rsid w:val="00B155EA"/>
    <w:rsid w:val="00B16F17"/>
    <w:rsid w:val="00B20D9D"/>
    <w:rsid w:val="00B20FCE"/>
    <w:rsid w:val="00B26900"/>
    <w:rsid w:val="00B55C65"/>
    <w:rsid w:val="00B62CDB"/>
    <w:rsid w:val="00B65AFB"/>
    <w:rsid w:val="00B70CEC"/>
    <w:rsid w:val="00B74868"/>
    <w:rsid w:val="00B76956"/>
    <w:rsid w:val="00B769F0"/>
    <w:rsid w:val="00B7793A"/>
    <w:rsid w:val="00B849D3"/>
    <w:rsid w:val="00B854A2"/>
    <w:rsid w:val="00B9288F"/>
    <w:rsid w:val="00BA6BD2"/>
    <w:rsid w:val="00BB3797"/>
    <w:rsid w:val="00BC3BD6"/>
    <w:rsid w:val="00BC5454"/>
    <w:rsid w:val="00BC5EA1"/>
    <w:rsid w:val="00BD6790"/>
    <w:rsid w:val="00C02A5C"/>
    <w:rsid w:val="00C061AD"/>
    <w:rsid w:val="00C16846"/>
    <w:rsid w:val="00C339CE"/>
    <w:rsid w:val="00C3644F"/>
    <w:rsid w:val="00C47662"/>
    <w:rsid w:val="00C510C9"/>
    <w:rsid w:val="00C62F93"/>
    <w:rsid w:val="00C649E4"/>
    <w:rsid w:val="00C94B77"/>
    <w:rsid w:val="00CA0BFE"/>
    <w:rsid w:val="00CA2BDC"/>
    <w:rsid w:val="00CB0E54"/>
    <w:rsid w:val="00CC3B1A"/>
    <w:rsid w:val="00CC412E"/>
    <w:rsid w:val="00CC620A"/>
    <w:rsid w:val="00CD1A3B"/>
    <w:rsid w:val="00CD4564"/>
    <w:rsid w:val="00CD702F"/>
    <w:rsid w:val="00D0456F"/>
    <w:rsid w:val="00D17A07"/>
    <w:rsid w:val="00D250D6"/>
    <w:rsid w:val="00D41B7C"/>
    <w:rsid w:val="00D53F9B"/>
    <w:rsid w:val="00D54458"/>
    <w:rsid w:val="00D569F2"/>
    <w:rsid w:val="00D57FCB"/>
    <w:rsid w:val="00D605D9"/>
    <w:rsid w:val="00D625A7"/>
    <w:rsid w:val="00D868BD"/>
    <w:rsid w:val="00D91ED4"/>
    <w:rsid w:val="00D95E90"/>
    <w:rsid w:val="00DA3507"/>
    <w:rsid w:val="00DB0941"/>
    <w:rsid w:val="00DD079F"/>
    <w:rsid w:val="00DD11E3"/>
    <w:rsid w:val="00DD4C10"/>
    <w:rsid w:val="00DE43D0"/>
    <w:rsid w:val="00DE54A5"/>
    <w:rsid w:val="00DF0D64"/>
    <w:rsid w:val="00E05463"/>
    <w:rsid w:val="00E226CE"/>
    <w:rsid w:val="00E24C3C"/>
    <w:rsid w:val="00E3592B"/>
    <w:rsid w:val="00E3708D"/>
    <w:rsid w:val="00E46AB6"/>
    <w:rsid w:val="00E51FC8"/>
    <w:rsid w:val="00E57C39"/>
    <w:rsid w:val="00E6378D"/>
    <w:rsid w:val="00E667B9"/>
    <w:rsid w:val="00E75BEB"/>
    <w:rsid w:val="00E77470"/>
    <w:rsid w:val="00E93A62"/>
    <w:rsid w:val="00EA10CB"/>
    <w:rsid w:val="00EA6085"/>
    <w:rsid w:val="00EB0FC6"/>
    <w:rsid w:val="00EB56EB"/>
    <w:rsid w:val="00EC4451"/>
    <w:rsid w:val="00EC5DF2"/>
    <w:rsid w:val="00EF5F82"/>
    <w:rsid w:val="00F06024"/>
    <w:rsid w:val="00F0648A"/>
    <w:rsid w:val="00F132E6"/>
    <w:rsid w:val="00F14502"/>
    <w:rsid w:val="00F14EDD"/>
    <w:rsid w:val="00F1535A"/>
    <w:rsid w:val="00F23CB2"/>
    <w:rsid w:val="00F25F46"/>
    <w:rsid w:val="00F268CD"/>
    <w:rsid w:val="00F328D3"/>
    <w:rsid w:val="00F352C7"/>
    <w:rsid w:val="00F35CA5"/>
    <w:rsid w:val="00F47A17"/>
    <w:rsid w:val="00F51286"/>
    <w:rsid w:val="00F578F3"/>
    <w:rsid w:val="00F84414"/>
    <w:rsid w:val="00F86263"/>
    <w:rsid w:val="00FA2DC2"/>
    <w:rsid w:val="00FB3290"/>
    <w:rsid w:val="00FE52B4"/>
    <w:rsid w:val="00FF01E6"/>
    <w:rsid w:val="00FF3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397D06"/>
  <w15:docId w15:val="{47FC9244-2196-44CA-8235-ABDEB62B4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A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54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68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26"/>
    <w:pPr>
      <w:ind w:left="720"/>
      <w:contextualSpacing/>
    </w:pPr>
  </w:style>
  <w:style w:type="paragraph" w:styleId="NormalWeb">
    <w:name w:val="Normal (Web)"/>
    <w:basedOn w:val="Normal"/>
    <w:uiPriority w:val="99"/>
    <w:unhideWhenUsed/>
    <w:rsid w:val="005D695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43CDF"/>
    <w:rPr>
      <w:sz w:val="16"/>
      <w:szCs w:val="16"/>
    </w:rPr>
  </w:style>
  <w:style w:type="paragraph" w:styleId="CommentText">
    <w:name w:val="annotation text"/>
    <w:basedOn w:val="Normal"/>
    <w:link w:val="CommentTextChar"/>
    <w:uiPriority w:val="99"/>
    <w:semiHidden/>
    <w:unhideWhenUsed/>
    <w:rsid w:val="00243CDF"/>
    <w:pPr>
      <w:spacing w:line="240" w:lineRule="auto"/>
    </w:pPr>
    <w:rPr>
      <w:sz w:val="20"/>
      <w:szCs w:val="20"/>
    </w:rPr>
  </w:style>
  <w:style w:type="character" w:customStyle="1" w:styleId="CommentTextChar">
    <w:name w:val="Comment Text Char"/>
    <w:basedOn w:val="DefaultParagraphFont"/>
    <w:link w:val="CommentText"/>
    <w:uiPriority w:val="99"/>
    <w:semiHidden/>
    <w:rsid w:val="00243CDF"/>
    <w:rPr>
      <w:sz w:val="20"/>
      <w:szCs w:val="20"/>
    </w:rPr>
  </w:style>
  <w:style w:type="paragraph" w:styleId="CommentSubject">
    <w:name w:val="annotation subject"/>
    <w:basedOn w:val="CommentText"/>
    <w:next w:val="CommentText"/>
    <w:link w:val="CommentSubjectChar"/>
    <w:uiPriority w:val="99"/>
    <w:semiHidden/>
    <w:unhideWhenUsed/>
    <w:rsid w:val="00243CDF"/>
    <w:rPr>
      <w:b/>
      <w:bCs/>
    </w:rPr>
  </w:style>
  <w:style w:type="character" w:customStyle="1" w:styleId="CommentSubjectChar">
    <w:name w:val="Comment Subject Char"/>
    <w:basedOn w:val="CommentTextChar"/>
    <w:link w:val="CommentSubject"/>
    <w:uiPriority w:val="99"/>
    <w:semiHidden/>
    <w:rsid w:val="00243CDF"/>
    <w:rPr>
      <w:b/>
      <w:bCs/>
      <w:sz w:val="20"/>
      <w:szCs w:val="20"/>
    </w:rPr>
  </w:style>
  <w:style w:type="paragraph" w:styleId="BalloonText">
    <w:name w:val="Balloon Text"/>
    <w:basedOn w:val="Normal"/>
    <w:link w:val="BalloonTextChar"/>
    <w:uiPriority w:val="99"/>
    <w:semiHidden/>
    <w:unhideWhenUsed/>
    <w:rsid w:val="00243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CDF"/>
    <w:rPr>
      <w:rFonts w:ascii="Segoe UI" w:hAnsi="Segoe UI" w:cs="Segoe UI"/>
      <w:sz w:val="18"/>
      <w:szCs w:val="18"/>
    </w:rPr>
  </w:style>
  <w:style w:type="character" w:styleId="Hyperlink">
    <w:name w:val="Hyperlink"/>
    <w:basedOn w:val="DefaultParagraphFont"/>
    <w:uiPriority w:val="99"/>
    <w:unhideWhenUsed/>
    <w:rsid w:val="00221CC3"/>
    <w:rPr>
      <w:color w:val="0563C1" w:themeColor="hyperlink"/>
      <w:u w:val="single"/>
    </w:rPr>
  </w:style>
  <w:style w:type="table" w:styleId="ListTable7Colorful-Accent1">
    <w:name w:val="List Table 7 Colorful Accent 1"/>
    <w:basedOn w:val="TableNormal"/>
    <w:uiPriority w:val="52"/>
    <w:rsid w:val="002B3341"/>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2B33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5Dark-Accent1">
    <w:name w:val="List Table 5 Dark Accent 1"/>
    <w:basedOn w:val="TableNormal"/>
    <w:uiPriority w:val="50"/>
    <w:rsid w:val="002B3341"/>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B62C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
    <w:name w:val="Table Grid"/>
    <w:basedOn w:val="TableNormal"/>
    <w:uiPriority w:val="39"/>
    <w:rsid w:val="00B6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D569F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4-Accent5">
    <w:name w:val="Grid Table 4 Accent 5"/>
    <w:basedOn w:val="TableNormal"/>
    <w:uiPriority w:val="49"/>
    <w:rsid w:val="00C4766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rsid w:val="00C4766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724C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4C0F"/>
    <w:rPr>
      <w:sz w:val="20"/>
      <w:szCs w:val="20"/>
    </w:rPr>
  </w:style>
  <w:style w:type="character" w:styleId="FootnoteReference">
    <w:name w:val="footnote reference"/>
    <w:basedOn w:val="DefaultParagraphFont"/>
    <w:uiPriority w:val="99"/>
    <w:semiHidden/>
    <w:unhideWhenUsed/>
    <w:rsid w:val="00724C0F"/>
    <w:rPr>
      <w:vertAlign w:val="superscript"/>
    </w:rPr>
  </w:style>
  <w:style w:type="character" w:customStyle="1" w:styleId="Heading1Char">
    <w:name w:val="Heading 1 Char"/>
    <w:basedOn w:val="DefaultParagraphFont"/>
    <w:link w:val="Heading1"/>
    <w:uiPriority w:val="9"/>
    <w:rsid w:val="00B65A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54A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4B6592"/>
    <w:pPr>
      <w:spacing w:after="0" w:line="240" w:lineRule="auto"/>
    </w:pPr>
  </w:style>
  <w:style w:type="paragraph" w:styleId="TOCHeading">
    <w:name w:val="TOC Heading"/>
    <w:basedOn w:val="Heading1"/>
    <w:next w:val="Normal"/>
    <w:uiPriority w:val="39"/>
    <w:unhideWhenUsed/>
    <w:qFormat/>
    <w:rsid w:val="00712E49"/>
    <w:pPr>
      <w:outlineLvl w:val="9"/>
    </w:pPr>
  </w:style>
  <w:style w:type="paragraph" w:styleId="TOC1">
    <w:name w:val="toc 1"/>
    <w:basedOn w:val="Normal"/>
    <w:next w:val="Normal"/>
    <w:autoRedefine/>
    <w:uiPriority w:val="39"/>
    <w:unhideWhenUsed/>
    <w:rsid w:val="00712E49"/>
    <w:pPr>
      <w:spacing w:after="100"/>
    </w:pPr>
  </w:style>
  <w:style w:type="paragraph" w:styleId="TOC2">
    <w:name w:val="toc 2"/>
    <w:basedOn w:val="Normal"/>
    <w:next w:val="Normal"/>
    <w:autoRedefine/>
    <w:uiPriority w:val="39"/>
    <w:unhideWhenUsed/>
    <w:rsid w:val="00712E49"/>
    <w:pPr>
      <w:spacing w:after="100"/>
      <w:ind w:left="220"/>
    </w:pPr>
  </w:style>
  <w:style w:type="character" w:customStyle="1" w:styleId="Heading3Char">
    <w:name w:val="Heading 3 Char"/>
    <w:basedOn w:val="DefaultParagraphFont"/>
    <w:link w:val="Heading3"/>
    <w:uiPriority w:val="9"/>
    <w:rsid w:val="00C16846"/>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16846"/>
    <w:pPr>
      <w:spacing w:after="100"/>
      <w:ind w:left="440"/>
    </w:pPr>
  </w:style>
  <w:style w:type="paragraph" w:customStyle="1" w:styleId="Default">
    <w:name w:val="Default"/>
    <w:rsid w:val="00492C9C"/>
    <w:pPr>
      <w:autoSpaceDE w:val="0"/>
      <w:autoSpaceDN w:val="0"/>
      <w:adjustRightInd w:val="0"/>
      <w:spacing w:after="0" w:line="240" w:lineRule="auto"/>
    </w:pPr>
    <w:rPr>
      <w:rFonts w:ascii="Calibri" w:hAnsi="Calibri" w:cs="Calibri"/>
      <w:color w:val="000000"/>
      <w:sz w:val="24"/>
      <w:szCs w:val="24"/>
    </w:rPr>
  </w:style>
  <w:style w:type="paragraph" w:customStyle="1" w:styleId="indentfix">
    <w:name w:val="indentfix"/>
    <w:basedOn w:val="Normal"/>
    <w:rsid w:val="00012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E1C82"/>
    <w:rPr>
      <w:color w:val="808080"/>
      <w:shd w:val="clear" w:color="auto" w:fill="E6E6E6"/>
    </w:rPr>
  </w:style>
  <w:style w:type="character" w:styleId="FollowedHyperlink">
    <w:name w:val="FollowedHyperlink"/>
    <w:basedOn w:val="DefaultParagraphFont"/>
    <w:uiPriority w:val="99"/>
    <w:semiHidden/>
    <w:unhideWhenUsed/>
    <w:rsid w:val="004B1761"/>
    <w:rPr>
      <w:color w:val="954F72" w:themeColor="followedHyperlink"/>
      <w:u w:val="single"/>
    </w:rPr>
  </w:style>
  <w:style w:type="paragraph" w:styleId="Header">
    <w:name w:val="header"/>
    <w:basedOn w:val="Normal"/>
    <w:link w:val="HeaderChar"/>
    <w:uiPriority w:val="99"/>
    <w:unhideWhenUsed/>
    <w:rsid w:val="000D7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E3F"/>
  </w:style>
  <w:style w:type="paragraph" w:styleId="Footer">
    <w:name w:val="footer"/>
    <w:basedOn w:val="Normal"/>
    <w:link w:val="FooterChar"/>
    <w:uiPriority w:val="99"/>
    <w:unhideWhenUsed/>
    <w:rsid w:val="000D7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E3F"/>
  </w:style>
  <w:style w:type="character" w:styleId="UnresolvedMention">
    <w:name w:val="Unresolved Mention"/>
    <w:basedOn w:val="DefaultParagraphFont"/>
    <w:uiPriority w:val="99"/>
    <w:semiHidden/>
    <w:unhideWhenUsed/>
    <w:rsid w:val="002B7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0937">
      <w:bodyDiv w:val="1"/>
      <w:marLeft w:val="0"/>
      <w:marRight w:val="0"/>
      <w:marTop w:val="0"/>
      <w:marBottom w:val="0"/>
      <w:divBdr>
        <w:top w:val="none" w:sz="0" w:space="0" w:color="auto"/>
        <w:left w:val="none" w:sz="0" w:space="0" w:color="auto"/>
        <w:bottom w:val="none" w:sz="0" w:space="0" w:color="auto"/>
        <w:right w:val="none" w:sz="0" w:space="0" w:color="auto"/>
      </w:divBdr>
      <w:divsChild>
        <w:div w:id="1729450412">
          <w:marLeft w:val="547"/>
          <w:marRight w:val="0"/>
          <w:marTop w:val="86"/>
          <w:marBottom w:val="120"/>
          <w:divBdr>
            <w:top w:val="none" w:sz="0" w:space="0" w:color="auto"/>
            <w:left w:val="none" w:sz="0" w:space="0" w:color="auto"/>
            <w:bottom w:val="none" w:sz="0" w:space="0" w:color="auto"/>
            <w:right w:val="none" w:sz="0" w:space="0" w:color="auto"/>
          </w:divBdr>
        </w:div>
        <w:div w:id="1556891460">
          <w:marLeft w:val="547"/>
          <w:marRight w:val="0"/>
          <w:marTop w:val="86"/>
          <w:marBottom w:val="120"/>
          <w:divBdr>
            <w:top w:val="none" w:sz="0" w:space="0" w:color="auto"/>
            <w:left w:val="none" w:sz="0" w:space="0" w:color="auto"/>
            <w:bottom w:val="none" w:sz="0" w:space="0" w:color="auto"/>
            <w:right w:val="none" w:sz="0" w:space="0" w:color="auto"/>
          </w:divBdr>
        </w:div>
        <w:div w:id="734353090">
          <w:marLeft w:val="547"/>
          <w:marRight w:val="0"/>
          <w:marTop w:val="86"/>
          <w:marBottom w:val="120"/>
          <w:divBdr>
            <w:top w:val="none" w:sz="0" w:space="0" w:color="auto"/>
            <w:left w:val="none" w:sz="0" w:space="0" w:color="auto"/>
            <w:bottom w:val="none" w:sz="0" w:space="0" w:color="auto"/>
            <w:right w:val="none" w:sz="0" w:space="0" w:color="auto"/>
          </w:divBdr>
        </w:div>
      </w:divsChild>
    </w:div>
    <w:div w:id="900751501">
      <w:bodyDiv w:val="1"/>
      <w:marLeft w:val="0"/>
      <w:marRight w:val="0"/>
      <w:marTop w:val="0"/>
      <w:marBottom w:val="0"/>
      <w:divBdr>
        <w:top w:val="none" w:sz="0" w:space="0" w:color="auto"/>
        <w:left w:val="none" w:sz="0" w:space="0" w:color="auto"/>
        <w:bottom w:val="none" w:sz="0" w:space="0" w:color="auto"/>
        <w:right w:val="none" w:sz="0" w:space="0" w:color="auto"/>
      </w:divBdr>
    </w:div>
    <w:div w:id="1600410491">
      <w:bodyDiv w:val="1"/>
      <w:marLeft w:val="0"/>
      <w:marRight w:val="0"/>
      <w:marTop w:val="0"/>
      <w:marBottom w:val="0"/>
      <w:divBdr>
        <w:top w:val="none" w:sz="0" w:space="0" w:color="auto"/>
        <w:left w:val="none" w:sz="0" w:space="0" w:color="auto"/>
        <w:bottom w:val="none" w:sz="0" w:space="0" w:color="auto"/>
        <w:right w:val="none" w:sz="0" w:space="0" w:color="auto"/>
      </w:divBdr>
      <w:divsChild>
        <w:div w:id="307437319">
          <w:marLeft w:val="0"/>
          <w:marRight w:val="0"/>
          <w:marTop w:val="0"/>
          <w:marBottom w:val="0"/>
          <w:divBdr>
            <w:top w:val="none" w:sz="0" w:space="0" w:color="auto"/>
            <w:left w:val="none" w:sz="0" w:space="0" w:color="auto"/>
            <w:bottom w:val="none" w:sz="0" w:space="0" w:color="auto"/>
            <w:right w:val="none" w:sz="0" w:space="0" w:color="auto"/>
          </w:divBdr>
          <w:divsChild>
            <w:div w:id="653533600">
              <w:marLeft w:val="-225"/>
              <w:marRight w:val="-225"/>
              <w:marTop w:val="0"/>
              <w:marBottom w:val="0"/>
              <w:divBdr>
                <w:top w:val="none" w:sz="0" w:space="0" w:color="auto"/>
                <w:left w:val="none" w:sz="0" w:space="0" w:color="auto"/>
                <w:bottom w:val="none" w:sz="0" w:space="0" w:color="auto"/>
                <w:right w:val="none" w:sz="0" w:space="0" w:color="auto"/>
              </w:divBdr>
              <w:divsChild>
                <w:div w:id="1674801498">
                  <w:marLeft w:val="0"/>
                  <w:marRight w:val="0"/>
                  <w:marTop w:val="0"/>
                  <w:marBottom w:val="0"/>
                  <w:divBdr>
                    <w:top w:val="none" w:sz="0" w:space="0" w:color="auto"/>
                    <w:left w:val="none" w:sz="0" w:space="0" w:color="auto"/>
                    <w:bottom w:val="none" w:sz="0" w:space="0" w:color="auto"/>
                    <w:right w:val="none" w:sz="0" w:space="0" w:color="auto"/>
                  </w:divBdr>
                  <w:divsChild>
                    <w:div w:id="1869445194">
                      <w:marLeft w:val="0"/>
                      <w:marRight w:val="0"/>
                      <w:marTop w:val="150"/>
                      <w:marBottom w:val="0"/>
                      <w:divBdr>
                        <w:top w:val="none" w:sz="0" w:space="0" w:color="auto"/>
                        <w:left w:val="none" w:sz="0" w:space="0" w:color="auto"/>
                        <w:bottom w:val="none" w:sz="0" w:space="0" w:color="auto"/>
                        <w:right w:val="none" w:sz="0" w:space="0" w:color="auto"/>
                      </w:divBdr>
                      <w:divsChild>
                        <w:div w:id="151726159">
                          <w:marLeft w:val="0"/>
                          <w:marRight w:val="0"/>
                          <w:marTop w:val="0"/>
                          <w:marBottom w:val="0"/>
                          <w:divBdr>
                            <w:top w:val="none" w:sz="0" w:space="0" w:color="auto"/>
                            <w:left w:val="none" w:sz="0" w:space="0" w:color="auto"/>
                            <w:bottom w:val="none" w:sz="0" w:space="0" w:color="auto"/>
                            <w:right w:val="none" w:sz="0" w:space="0" w:color="auto"/>
                          </w:divBdr>
                          <w:divsChild>
                            <w:div w:id="1520006022">
                              <w:marLeft w:val="0"/>
                              <w:marRight w:val="0"/>
                              <w:marTop w:val="150"/>
                              <w:marBottom w:val="0"/>
                              <w:divBdr>
                                <w:top w:val="none" w:sz="0" w:space="0" w:color="auto"/>
                                <w:left w:val="none" w:sz="0" w:space="0" w:color="auto"/>
                                <w:bottom w:val="none" w:sz="0" w:space="0" w:color="auto"/>
                                <w:right w:val="none" w:sz="0" w:space="0" w:color="auto"/>
                              </w:divBdr>
                              <w:divsChild>
                                <w:div w:id="804351756">
                                  <w:marLeft w:val="0"/>
                                  <w:marRight w:val="0"/>
                                  <w:marTop w:val="0"/>
                                  <w:marBottom w:val="0"/>
                                  <w:divBdr>
                                    <w:top w:val="none" w:sz="0" w:space="0" w:color="auto"/>
                                    <w:left w:val="none" w:sz="0" w:space="0" w:color="auto"/>
                                    <w:bottom w:val="none" w:sz="0" w:space="0" w:color="auto"/>
                                    <w:right w:val="none" w:sz="0" w:space="0" w:color="auto"/>
                                  </w:divBdr>
                                  <w:divsChild>
                                    <w:div w:id="131099306">
                                      <w:marLeft w:val="0"/>
                                      <w:marRight w:val="0"/>
                                      <w:marTop w:val="0"/>
                                      <w:marBottom w:val="0"/>
                                      <w:divBdr>
                                        <w:top w:val="none" w:sz="0" w:space="0" w:color="auto"/>
                                        <w:left w:val="none" w:sz="0" w:space="0" w:color="auto"/>
                                        <w:bottom w:val="none" w:sz="0" w:space="0" w:color="auto"/>
                                        <w:right w:val="none" w:sz="0" w:space="0" w:color="auto"/>
                                      </w:divBdr>
                                      <w:divsChild>
                                        <w:div w:id="761219317">
                                          <w:marLeft w:val="0"/>
                                          <w:marRight w:val="0"/>
                                          <w:marTop w:val="150"/>
                                          <w:marBottom w:val="150"/>
                                          <w:divBdr>
                                            <w:top w:val="single" w:sz="24" w:space="0" w:color="204060"/>
                                            <w:left w:val="single" w:sz="24" w:space="0" w:color="204060"/>
                                            <w:bottom w:val="single" w:sz="24" w:space="0" w:color="204060"/>
                                            <w:right w:val="single" w:sz="24" w:space="0" w:color="204060"/>
                                          </w:divBdr>
                                          <w:divsChild>
                                            <w:div w:id="1555964861">
                                              <w:marLeft w:val="0"/>
                                              <w:marRight w:val="0"/>
                                              <w:marTop w:val="0"/>
                                              <w:marBottom w:val="0"/>
                                              <w:divBdr>
                                                <w:top w:val="none" w:sz="0" w:space="0" w:color="auto"/>
                                                <w:left w:val="none" w:sz="0" w:space="0" w:color="auto"/>
                                                <w:bottom w:val="none" w:sz="0" w:space="0" w:color="auto"/>
                                                <w:right w:val="none" w:sz="0" w:space="0" w:color="auto"/>
                                              </w:divBdr>
                                              <w:divsChild>
                                                <w:div w:id="880939080">
                                                  <w:marLeft w:val="0"/>
                                                  <w:marRight w:val="0"/>
                                                  <w:marTop w:val="150"/>
                                                  <w:marBottom w:val="0"/>
                                                  <w:divBdr>
                                                    <w:top w:val="none" w:sz="0" w:space="0" w:color="auto"/>
                                                    <w:left w:val="none" w:sz="0" w:space="0" w:color="auto"/>
                                                    <w:bottom w:val="none" w:sz="0" w:space="0" w:color="auto"/>
                                                    <w:right w:val="none" w:sz="0" w:space="0" w:color="auto"/>
                                                  </w:divBdr>
                                                  <w:divsChild>
                                                    <w:div w:id="535898924">
                                                      <w:marLeft w:val="0"/>
                                                      <w:marRight w:val="0"/>
                                                      <w:marTop w:val="0"/>
                                                      <w:marBottom w:val="0"/>
                                                      <w:divBdr>
                                                        <w:top w:val="none" w:sz="0" w:space="0" w:color="auto"/>
                                                        <w:left w:val="none" w:sz="0" w:space="0" w:color="auto"/>
                                                        <w:bottom w:val="none" w:sz="0" w:space="0" w:color="auto"/>
                                                        <w:right w:val="none" w:sz="0" w:space="0" w:color="auto"/>
                                                      </w:divBdr>
                                                    </w:div>
                                                  </w:divsChild>
                                                </w:div>
                                                <w:div w:id="957027356">
                                                  <w:marLeft w:val="0"/>
                                                  <w:marRight w:val="0"/>
                                                  <w:marTop w:val="0"/>
                                                  <w:marBottom w:val="0"/>
                                                  <w:divBdr>
                                                    <w:top w:val="none" w:sz="0" w:space="0" w:color="auto"/>
                                                    <w:left w:val="none" w:sz="0" w:space="0" w:color="auto"/>
                                                    <w:bottom w:val="none" w:sz="0" w:space="0" w:color="auto"/>
                                                    <w:right w:val="none" w:sz="0" w:space="0" w:color="auto"/>
                                                  </w:divBdr>
                                                </w:div>
                                                <w:div w:id="1434596495">
                                                  <w:marLeft w:val="0"/>
                                                  <w:marRight w:val="0"/>
                                                  <w:marTop w:val="150"/>
                                                  <w:marBottom w:val="0"/>
                                                  <w:divBdr>
                                                    <w:top w:val="none" w:sz="0" w:space="0" w:color="auto"/>
                                                    <w:left w:val="none" w:sz="0" w:space="0" w:color="auto"/>
                                                    <w:bottom w:val="none" w:sz="0" w:space="0" w:color="auto"/>
                                                    <w:right w:val="none" w:sz="0" w:space="0" w:color="auto"/>
                                                  </w:divBdr>
                                                  <w:divsChild>
                                                    <w:div w:id="122040116">
                                                      <w:marLeft w:val="0"/>
                                                      <w:marRight w:val="0"/>
                                                      <w:marTop w:val="0"/>
                                                      <w:marBottom w:val="0"/>
                                                      <w:divBdr>
                                                        <w:top w:val="none" w:sz="0" w:space="0" w:color="auto"/>
                                                        <w:left w:val="none" w:sz="0" w:space="0" w:color="auto"/>
                                                        <w:bottom w:val="none" w:sz="0" w:space="0" w:color="auto"/>
                                                        <w:right w:val="none" w:sz="0" w:space="0" w:color="auto"/>
                                                      </w:divBdr>
                                                    </w:div>
                                                    <w:div w:id="1951273975">
                                                      <w:marLeft w:val="0"/>
                                                      <w:marRight w:val="0"/>
                                                      <w:marTop w:val="0"/>
                                                      <w:marBottom w:val="0"/>
                                                      <w:divBdr>
                                                        <w:top w:val="none" w:sz="0" w:space="0" w:color="auto"/>
                                                        <w:left w:val="none" w:sz="0" w:space="0" w:color="auto"/>
                                                        <w:bottom w:val="none" w:sz="0" w:space="0" w:color="auto"/>
                                                        <w:right w:val="none" w:sz="0" w:space="0" w:color="auto"/>
                                                      </w:divBdr>
                                                    </w:div>
                                                    <w:div w:id="1215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223684">
      <w:bodyDiv w:val="1"/>
      <w:marLeft w:val="0"/>
      <w:marRight w:val="0"/>
      <w:marTop w:val="0"/>
      <w:marBottom w:val="0"/>
      <w:divBdr>
        <w:top w:val="none" w:sz="0" w:space="0" w:color="auto"/>
        <w:left w:val="none" w:sz="0" w:space="0" w:color="auto"/>
        <w:bottom w:val="none" w:sz="0" w:space="0" w:color="auto"/>
        <w:right w:val="none" w:sz="0" w:space="0" w:color="auto"/>
      </w:divBdr>
      <w:divsChild>
        <w:div w:id="2138713355">
          <w:marLeft w:val="720"/>
          <w:marRight w:val="0"/>
          <w:marTop w:val="106"/>
          <w:marBottom w:val="0"/>
          <w:divBdr>
            <w:top w:val="none" w:sz="0" w:space="0" w:color="auto"/>
            <w:left w:val="none" w:sz="0" w:space="0" w:color="auto"/>
            <w:bottom w:val="none" w:sz="0" w:space="0" w:color="auto"/>
            <w:right w:val="none" w:sz="0" w:space="0" w:color="auto"/>
          </w:divBdr>
        </w:div>
        <w:div w:id="117723323">
          <w:marLeft w:val="720"/>
          <w:marRight w:val="0"/>
          <w:marTop w:val="106"/>
          <w:marBottom w:val="0"/>
          <w:divBdr>
            <w:top w:val="none" w:sz="0" w:space="0" w:color="auto"/>
            <w:left w:val="none" w:sz="0" w:space="0" w:color="auto"/>
            <w:bottom w:val="none" w:sz="0" w:space="0" w:color="auto"/>
            <w:right w:val="none" w:sz="0" w:space="0" w:color="auto"/>
          </w:divBdr>
        </w:div>
        <w:div w:id="1251279074">
          <w:marLeft w:val="720"/>
          <w:marRight w:val="0"/>
          <w:marTop w:val="106"/>
          <w:marBottom w:val="0"/>
          <w:divBdr>
            <w:top w:val="none" w:sz="0" w:space="0" w:color="auto"/>
            <w:left w:val="none" w:sz="0" w:space="0" w:color="auto"/>
            <w:bottom w:val="none" w:sz="0" w:space="0" w:color="auto"/>
            <w:right w:val="none" w:sz="0" w:space="0" w:color="auto"/>
          </w:divBdr>
        </w:div>
      </w:divsChild>
    </w:div>
    <w:div w:id="1836724932">
      <w:bodyDiv w:val="1"/>
      <w:marLeft w:val="0"/>
      <w:marRight w:val="0"/>
      <w:marTop w:val="0"/>
      <w:marBottom w:val="0"/>
      <w:divBdr>
        <w:top w:val="none" w:sz="0" w:space="0" w:color="auto"/>
        <w:left w:val="none" w:sz="0" w:space="0" w:color="auto"/>
        <w:bottom w:val="none" w:sz="0" w:space="0" w:color="auto"/>
        <w:right w:val="none" w:sz="0" w:space="0" w:color="auto"/>
      </w:divBdr>
    </w:div>
    <w:div w:id="1907573300">
      <w:bodyDiv w:val="1"/>
      <w:marLeft w:val="0"/>
      <w:marRight w:val="0"/>
      <w:marTop w:val="0"/>
      <w:marBottom w:val="0"/>
      <w:divBdr>
        <w:top w:val="none" w:sz="0" w:space="0" w:color="auto"/>
        <w:left w:val="none" w:sz="0" w:space="0" w:color="auto"/>
        <w:bottom w:val="none" w:sz="0" w:space="0" w:color="auto"/>
        <w:right w:val="none" w:sz="0" w:space="0" w:color="auto"/>
      </w:divBdr>
    </w:div>
    <w:div w:id="200134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hs.gov/hipaa/for-professionals/special-topics/hitech-act-enforcement-interim-final-rule/index.html" TargetMode="External"/><Relationship Id="rId18" Type="http://schemas.openxmlformats.org/officeDocument/2006/relationships/hyperlink" Target="https://pages.nist.gov/800-63-3/sp800-63-3.html" TargetMode="External"/><Relationship Id="rId26" Type="http://schemas.openxmlformats.org/officeDocument/2006/relationships/hyperlink" Target="http://nvlpubs.nist.gov/nistpubs/Legacy/SP/nistspecialpublication800-66r1.pdf" TargetMode="External"/><Relationship Id="rId39" Type="http://schemas.openxmlformats.org/officeDocument/2006/relationships/hyperlink" Target="https://www.whitehouse.gov/the-press-office/2017/05/11/presidential-executive-order-strengthening-cybersecurity-federal" TargetMode="External"/><Relationship Id="rId3" Type="http://schemas.openxmlformats.org/officeDocument/2006/relationships/styles" Target="styles.xml"/><Relationship Id="rId21" Type="http://schemas.openxmlformats.org/officeDocument/2006/relationships/hyperlink" Target="http://nvlpubs.nist.gov/nistpubs/SpecialPublications/NIST.SP.800-171r1.pdf" TargetMode="External"/><Relationship Id="rId34" Type="http://schemas.openxmlformats.org/officeDocument/2006/relationships/hyperlink" Target="https://csrc.nist.gov/publications/detail/fips/200/final" TargetMode="External"/><Relationship Id="rId42" Type="http://schemas.openxmlformats.org/officeDocument/2006/relationships/hyperlink" Target="https://www.congress.gov/bill/115th-congress/senate-bill/2184/text" TargetMode="External"/><Relationship Id="rId7" Type="http://schemas.openxmlformats.org/officeDocument/2006/relationships/endnotes" Target="endnotes.xml"/><Relationship Id="rId12" Type="http://schemas.openxmlformats.org/officeDocument/2006/relationships/hyperlink" Target="https://www.hhs.gov/hipaa/for-professionals/privacy/laws-regulations/combined-regulation-text/omnibus-hipaa-rulemaking/index.html" TargetMode="External"/><Relationship Id="rId17" Type="http://schemas.openxmlformats.org/officeDocument/2006/relationships/hyperlink" Target="https://csrc.nist.gov/publications/detail/sp/800-37/rev-1/final" TargetMode="External"/><Relationship Id="rId25" Type="http://schemas.openxmlformats.org/officeDocument/2006/relationships/hyperlink" Target="https://csrc.nist.gov/csrc/media/publications/nistir/8170/draft/documents/nistir8170-draft.pdf" TargetMode="External"/><Relationship Id="rId33" Type="http://schemas.openxmlformats.org/officeDocument/2006/relationships/hyperlink" Target="https://csrc.nist.gov/publications/detail/fips/199/final" TargetMode="External"/><Relationship Id="rId38" Type="http://schemas.openxmlformats.org/officeDocument/2006/relationships/hyperlink" Target="https://www.dhs.gov/sites/default/files/publications/dhs-eo13636-summary-report-cybersecurity-incentives-study_0.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src.nist.gov/csrc/media/publications/nistir/8170/draft/documents/nistir8170-draft.pdf" TargetMode="External"/><Relationship Id="rId20" Type="http://schemas.openxmlformats.org/officeDocument/2006/relationships/hyperlink" Target="http://nvlpubs.nist.gov/nistpubs/Legacy/SP/nistspecialpublication800-122.pdf" TargetMode="External"/><Relationship Id="rId29" Type="http://schemas.openxmlformats.org/officeDocument/2006/relationships/hyperlink" Target="https://www.govconwire.com/2017/05/nist-reveals-draft-of-cyber-security-framework/" TargetMode="External"/><Relationship Id="rId41" Type="http://schemas.openxmlformats.org/officeDocument/2006/relationships/hyperlink" Target="https://community.max.gov/download/attachments/1572209837/DHA%20AI%20077%252c%20Security%20Categorization%20and%20Control%20Selection%20for%20IT.pdf?version=1&amp;modificationDate=1536077532563&amp;api=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it.gov/sites/default/files/nationwide-ps-framework-5.pdf" TargetMode="External"/><Relationship Id="rId24" Type="http://schemas.openxmlformats.org/officeDocument/2006/relationships/hyperlink" Target="https://csrc.nist.gov/publications/detail/nistir/8149/draft" TargetMode="External"/><Relationship Id="rId32" Type="http://schemas.openxmlformats.org/officeDocument/2006/relationships/hyperlink" Target="https://csrc.nist.gov/csrc/media/projects/cryptographic-module-validation-program/documents/fips140-2/fips1402ig.pdf" TargetMode="External"/><Relationship Id="rId37" Type="http://schemas.openxmlformats.org/officeDocument/2006/relationships/hyperlink" Target="https://www.nist.gov/speech-testimony/oversight-executive-order-13636-and-development-cybersecurity-framework" TargetMode="External"/><Relationship Id="rId40" Type="http://schemas.openxmlformats.org/officeDocument/2006/relationships/hyperlink" Target="https://www.whitehouse.gov/the-press-office/2017/05/11/presidential-executive-order-strengthening-cybersecurity-federa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fcw.com/articles/2017/08/16/nist-retools-for-iot.aspx" TargetMode="External"/><Relationship Id="rId28" Type="http://schemas.openxmlformats.org/officeDocument/2006/relationships/hyperlink" Target="https://www.hhs.gov/sites/default/files/nist-csf-to-hipaa-security-rule-crosswalk-02-22-2016-final.pdf" TargetMode="External"/><Relationship Id="rId36" Type="http://schemas.openxmlformats.org/officeDocument/2006/relationships/hyperlink" Target="https://obamawhitehouse.archives.gov/the-press-office/2013/02/12/executive-order-improving-critical-infrastructure-cybersecurity" TargetMode="External"/><Relationship Id="rId10" Type="http://schemas.openxmlformats.org/officeDocument/2006/relationships/hyperlink" Target="http://www.fhims.org" TargetMode="External"/><Relationship Id="rId19" Type="http://schemas.openxmlformats.org/officeDocument/2006/relationships/hyperlink" Target="https://github.com/usnistgov/800-63-3/tree/volume-d" TargetMode="External"/><Relationship Id="rId31" Type="http://schemas.openxmlformats.org/officeDocument/2006/relationships/hyperlink" Target="https://www.nist.gov/publications/understanding-major-update-nist-sp-800-63-digital-identity-guidelines" TargetMode="External"/><Relationship Id="rId44" Type="http://schemas.openxmlformats.org/officeDocument/2006/relationships/hyperlink" Target="https://www.congress.gov/bill/115th-congress/house-bill/4242/tex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s://csrc.nist.gov/csrc/media/publications/sp/800-53/rev-5/draft/documents/sp800-53r5-draft.pdf" TargetMode="External"/><Relationship Id="rId27" Type="http://schemas.openxmlformats.org/officeDocument/2006/relationships/hyperlink" Target="https://www.nist.gov/cyberframework/draft-version-11" TargetMode="External"/><Relationship Id="rId30" Type="http://schemas.openxmlformats.org/officeDocument/2006/relationships/hyperlink" Target="https://csrc.nist.gov/publications/detail/fips/140/2/final" TargetMode="External"/><Relationship Id="rId35" Type="http://schemas.openxmlformats.org/officeDocument/2006/relationships/hyperlink" Target="https://obamawhitehouse.archives.gov/the-press-office/2014/10/17/executive-order-improving-security-consumer-financial-transactions" TargetMode="External"/><Relationship Id="rId43" Type="http://schemas.openxmlformats.org/officeDocument/2006/relationships/hyperlink" Target="https://www.congress.gov/115/bills/s2193/BILLS-115s2193pcs.x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ist.gov/about-nist/our-organization/mission-vision-val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NIS</b:Tag>
    <b:SourceType>InternetSite</b:SourceType>
    <b:Guid>{2633C802-2B2B-4463-9338-684C38873DCD}</b:Guid>
    <b:Title>NIST Cyber Security Framework</b:Title>
    <b:Author>
      <b:Author>
        <b:Corporate>NIST</b:Corporate>
      </b:Author>
    </b:Author>
    <b:InternetSiteTitle>NIST</b:InternetSiteTitle>
    <b:URL>https://www.nist.gov/cyberframework</b:URL>
    <b:RefOrder>1</b:RefOrder>
  </b:Source>
</b:Sources>
</file>

<file path=customXml/itemProps1.xml><?xml version="1.0" encoding="utf-8"?>
<ds:datastoreItem xmlns:ds="http://schemas.openxmlformats.org/officeDocument/2006/customXml" ds:itemID="{8ADBDDBD-0727-4E29-9D42-C1E528F4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Pages>
  <Words>6987</Words>
  <Characters>39831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 Malik</dc:creator>
  <cp:lastModifiedBy>Brian Handspicker</cp:lastModifiedBy>
  <cp:revision>11</cp:revision>
  <dcterms:created xsi:type="dcterms:W3CDTF">2019-05-31T18:18:00Z</dcterms:created>
  <dcterms:modified xsi:type="dcterms:W3CDTF">2019-06-17T22:47:00Z</dcterms:modified>
</cp:coreProperties>
</file>